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0445AE" w14:textId="28205520" w:rsidR="00881F03" w:rsidRPr="009F43F6" w:rsidRDefault="00623858" w:rsidP="009F43F6">
      <w:pPr>
        <w:pStyle w:val="Heading1"/>
      </w:pPr>
      <w:r w:rsidRPr="009F43F6">
        <w:t xml:space="preserve">Evidence from: </w:t>
      </w:r>
      <w:sdt>
        <w:sdtPr>
          <w:id w:val="195886493"/>
          <w:placeholder>
            <w:docPart w:val="4BDEE153FE584A1C8915F616566A5433"/>
          </w:placeholder>
        </w:sdtPr>
        <w:sdtEndPr/>
        <w:sdtContent>
          <w:r w:rsidR="00414F6B" w:rsidRPr="009F43F6">
            <w:t>Administrative Data Research (ADR) Wales Education Team: Professor Chris Taylor, Dr Sophie Bartlett</w:t>
          </w:r>
          <w:r w:rsidR="00463184" w:rsidRPr="009F43F6">
            <w:t>, and Dr Katy Huxley</w:t>
          </w:r>
        </w:sdtContent>
      </w:sdt>
    </w:p>
    <w:p w14:paraId="11F218F4" w14:textId="77777777" w:rsidR="000850CC" w:rsidRPr="009F43F6" w:rsidRDefault="000850CC" w:rsidP="00683F4E">
      <w:pPr>
        <w:pBdr>
          <w:top w:val="single" w:sz="4" w:space="12" w:color="auto"/>
        </w:pBdr>
        <w:rPr>
          <w:rFonts w:ascii="Aptos" w:hAnsi="Aptos"/>
        </w:rPr>
      </w:pPr>
      <w:r w:rsidRPr="009F43F6">
        <w:rPr>
          <w:rFonts w:ascii="Aptos" w:hAnsi="Aptos" w:cstheme="minorHAnsi"/>
        </w:rPr>
        <w:t>Senedd Cymru</w:t>
      </w:r>
      <w:r w:rsidRPr="009F43F6">
        <w:rPr>
          <w:rFonts w:ascii="Aptos" w:hAnsi="Aptos"/>
        </w:rPr>
        <w:t xml:space="preserve"> | </w:t>
      </w:r>
      <w:r w:rsidRPr="009F43F6">
        <w:rPr>
          <w:rFonts w:ascii="Aptos" w:hAnsi="Aptos" w:cstheme="minorHAnsi"/>
        </w:rPr>
        <w:t>Welsh Parliament</w:t>
      </w:r>
    </w:p>
    <w:p w14:paraId="19D441C3" w14:textId="5BC140CB" w:rsidR="00E16DCE" w:rsidRPr="009F43F6" w:rsidRDefault="00E16DCE" w:rsidP="00E16DCE">
      <w:pPr>
        <w:rPr>
          <w:rFonts w:ascii="Aptos" w:hAnsi="Aptos"/>
        </w:rPr>
      </w:pPr>
      <w:hyperlink r:id="rId11" w:history="1">
        <w:proofErr w:type="spellStart"/>
        <w:r w:rsidRPr="009F43F6">
          <w:rPr>
            <w:rStyle w:val="Hyperlink"/>
            <w:rFonts w:ascii="Aptos" w:hAnsi="Aptos"/>
          </w:rPr>
          <w:t>Pwyllgor</w:t>
        </w:r>
        <w:proofErr w:type="spellEnd"/>
        <w:r w:rsidRPr="009F43F6">
          <w:rPr>
            <w:rStyle w:val="Hyperlink"/>
            <w:rFonts w:ascii="Aptos" w:hAnsi="Aptos"/>
          </w:rPr>
          <w:t xml:space="preserve"> </w:t>
        </w:r>
        <w:r w:rsidR="00CC7C3F" w:rsidRPr="009F43F6">
          <w:rPr>
            <w:rStyle w:val="Hyperlink"/>
            <w:rFonts w:ascii="Aptos" w:hAnsi="Aptos"/>
          </w:rPr>
          <w:t xml:space="preserve">y </w:t>
        </w:r>
        <w:proofErr w:type="spellStart"/>
        <w:r w:rsidR="00CC7C3F" w:rsidRPr="009F43F6">
          <w:rPr>
            <w:rStyle w:val="Hyperlink"/>
            <w:rFonts w:ascii="Aptos" w:hAnsi="Aptos"/>
          </w:rPr>
          <w:t>Blynyddoedd</w:t>
        </w:r>
        <w:proofErr w:type="spellEnd"/>
        <w:r w:rsidR="00CC7C3F" w:rsidRPr="009F43F6">
          <w:rPr>
            <w:rStyle w:val="Hyperlink"/>
            <w:rFonts w:ascii="Aptos" w:hAnsi="Aptos"/>
          </w:rPr>
          <w:t xml:space="preserve"> Cynnar, Plant, </w:t>
        </w:r>
        <w:proofErr w:type="spellStart"/>
        <w:r w:rsidR="00CC7C3F" w:rsidRPr="009F43F6">
          <w:rPr>
            <w:rStyle w:val="Hyperlink"/>
            <w:rFonts w:ascii="Aptos" w:hAnsi="Aptos"/>
          </w:rPr>
          <w:t>Pobl</w:t>
        </w:r>
        <w:proofErr w:type="spellEnd"/>
        <w:r w:rsidR="00CC7C3F" w:rsidRPr="009F43F6">
          <w:rPr>
            <w:rStyle w:val="Hyperlink"/>
            <w:rFonts w:ascii="Aptos" w:hAnsi="Aptos"/>
          </w:rPr>
          <w:t xml:space="preserve"> </w:t>
        </w:r>
        <w:proofErr w:type="spellStart"/>
        <w:r w:rsidR="00CC7C3F" w:rsidRPr="009F43F6">
          <w:rPr>
            <w:rStyle w:val="Hyperlink"/>
            <w:rFonts w:ascii="Aptos" w:hAnsi="Aptos"/>
          </w:rPr>
          <w:t>Ifanc</w:t>
        </w:r>
        <w:proofErr w:type="spellEnd"/>
        <w:r w:rsidR="00CC7C3F" w:rsidRPr="009F43F6">
          <w:rPr>
            <w:rStyle w:val="Hyperlink"/>
            <w:rFonts w:ascii="Aptos" w:hAnsi="Aptos"/>
          </w:rPr>
          <w:t xml:space="preserve"> ac </w:t>
        </w:r>
        <w:proofErr w:type="spellStart"/>
        <w:r w:rsidR="00CC7C3F" w:rsidRPr="009F43F6">
          <w:rPr>
            <w:rStyle w:val="Hyperlink"/>
            <w:rFonts w:ascii="Aptos" w:hAnsi="Aptos"/>
          </w:rPr>
          <w:t>Addysg</w:t>
        </w:r>
        <w:proofErr w:type="spellEnd"/>
      </w:hyperlink>
      <w:r w:rsidRPr="009F43F6">
        <w:rPr>
          <w:rFonts w:ascii="Aptos" w:hAnsi="Aptos"/>
        </w:rPr>
        <w:t xml:space="preserve"> | </w:t>
      </w:r>
      <w:hyperlink r:id="rId12" w:history="1">
        <w:r w:rsidRPr="009F43F6">
          <w:rPr>
            <w:rStyle w:val="Hyperlink"/>
            <w:rFonts w:ascii="Aptos" w:hAnsi="Aptos"/>
          </w:rPr>
          <w:t>E</w:t>
        </w:r>
        <w:r w:rsidR="00A90667" w:rsidRPr="009F43F6">
          <w:rPr>
            <w:rStyle w:val="Hyperlink"/>
            <w:rFonts w:ascii="Aptos" w:hAnsi="Aptos"/>
          </w:rPr>
          <w:t>arly Years, Children, Young People and Education Committe</w:t>
        </w:r>
        <w:r w:rsidRPr="009F43F6">
          <w:rPr>
            <w:rStyle w:val="Hyperlink"/>
            <w:rFonts w:ascii="Aptos" w:hAnsi="Aptos"/>
          </w:rPr>
          <w:t>e</w:t>
        </w:r>
      </w:hyperlink>
    </w:p>
    <w:p w14:paraId="7EEB95E6" w14:textId="6F4BBB43" w:rsidR="00E16DCE" w:rsidRPr="009F43F6" w:rsidRDefault="00E16DCE" w:rsidP="00E16DCE">
      <w:pPr>
        <w:pBdr>
          <w:bottom w:val="single" w:sz="4" w:space="12" w:color="auto"/>
        </w:pBdr>
        <w:rPr>
          <w:rFonts w:ascii="Aptos" w:hAnsi="Aptos"/>
        </w:rPr>
      </w:pPr>
      <w:hyperlink r:id="rId13" w:history="1">
        <w:proofErr w:type="spellStart"/>
        <w:r w:rsidRPr="009F43F6">
          <w:rPr>
            <w:rStyle w:val="Hyperlink"/>
            <w:rFonts w:ascii="Aptos" w:hAnsi="Aptos"/>
          </w:rPr>
          <w:t>Blaenoriaethau</w:t>
        </w:r>
        <w:proofErr w:type="spellEnd"/>
        <w:r w:rsidRPr="009F43F6">
          <w:rPr>
            <w:rStyle w:val="Hyperlink"/>
            <w:rFonts w:ascii="Aptos" w:hAnsi="Aptos"/>
          </w:rPr>
          <w:t xml:space="preserve"> </w:t>
        </w:r>
        <w:proofErr w:type="spellStart"/>
        <w:r w:rsidR="00CC7C3F" w:rsidRPr="009F43F6">
          <w:rPr>
            <w:rStyle w:val="Hyperlink"/>
            <w:rFonts w:ascii="Aptos" w:hAnsi="Aptos"/>
          </w:rPr>
          <w:t>Pwyllgor</w:t>
        </w:r>
        <w:proofErr w:type="spellEnd"/>
        <w:r w:rsidR="00CC7C3F" w:rsidRPr="009F43F6">
          <w:rPr>
            <w:rStyle w:val="Hyperlink"/>
            <w:rFonts w:ascii="Aptos" w:hAnsi="Aptos"/>
          </w:rPr>
          <w:t xml:space="preserve"> y </w:t>
        </w:r>
        <w:proofErr w:type="spellStart"/>
        <w:r w:rsidR="00CC7C3F" w:rsidRPr="009F43F6">
          <w:rPr>
            <w:rStyle w:val="Hyperlink"/>
            <w:rFonts w:ascii="Aptos" w:hAnsi="Aptos"/>
          </w:rPr>
          <w:t>Blynyddoedd</w:t>
        </w:r>
        <w:proofErr w:type="spellEnd"/>
        <w:r w:rsidR="00CC7C3F" w:rsidRPr="009F43F6">
          <w:rPr>
            <w:rStyle w:val="Hyperlink"/>
            <w:rFonts w:ascii="Aptos" w:hAnsi="Aptos"/>
          </w:rPr>
          <w:t xml:space="preserve"> Cynnar, Plant, </w:t>
        </w:r>
        <w:proofErr w:type="spellStart"/>
        <w:r w:rsidR="00CC7C3F" w:rsidRPr="009F43F6">
          <w:rPr>
            <w:rStyle w:val="Hyperlink"/>
            <w:rFonts w:ascii="Aptos" w:hAnsi="Aptos"/>
          </w:rPr>
          <w:t>Pobl</w:t>
        </w:r>
        <w:proofErr w:type="spellEnd"/>
        <w:r w:rsidR="00CC7C3F" w:rsidRPr="009F43F6">
          <w:rPr>
            <w:rStyle w:val="Hyperlink"/>
            <w:rFonts w:ascii="Aptos" w:hAnsi="Aptos"/>
          </w:rPr>
          <w:t xml:space="preserve"> </w:t>
        </w:r>
        <w:proofErr w:type="spellStart"/>
        <w:r w:rsidR="00CC7C3F" w:rsidRPr="009F43F6">
          <w:rPr>
            <w:rStyle w:val="Hyperlink"/>
            <w:rFonts w:ascii="Aptos" w:hAnsi="Aptos"/>
          </w:rPr>
          <w:t>Ifanc</w:t>
        </w:r>
        <w:proofErr w:type="spellEnd"/>
        <w:r w:rsidR="00CC7C3F" w:rsidRPr="009F43F6">
          <w:rPr>
            <w:rStyle w:val="Hyperlink"/>
            <w:rFonts w:ascii="Aptos" w:hAnsi="Aptos"/>
          </w:rPr>
          <w:t xml:space="preserve"> ac </w:t>
        </w:r>
        <w:proofErr w:type="spellStart"/>
        <w:r w:rsidR="00CC7C3F" w:rsidRPr="009F43F6">
          <w:rPr>
            <w:rStyle w:val="Hyperlink"/>
            <w:rFonts w:ascii="Aptos" w:hAnsi="Aptos"/>
          </w:rPr>
          <w:t>Addysg</w:t>
        </w:r>
        <w:r w:rsidRPr="009F43F6">
          <w:rPr>
            <w:rStyle w:val="Hyperlink"/>
            <w:rFonts w:ascii="Aptos" w:hAnsi="Aptos"/>
          </w:rPr>
          <w:t>d</w:t>
        </w:r>
        <w:proofErr w:type="spellEnd"/>
      </w:hyperlink>
      <w:r w:rsidRPr="009F43F6">
        <w:rPr>
          <w:rFonts w:ascii="Aptos" w:hAnsi="Aptos"/>
        </w:rPr>
        <w:t xml:space="preserve"> | </w:t>
      </w:r>
      <w:hyperlink r:id="rId14" w:history="1">
        <w:r w:rsidRPr="009F43F6">
          <w:rPr>
            <w:rStyle w:val="Hyperlink"/>
            <w:rFonts w:ascii="Aptos" w:hAnsi="Aptos"/>
          </w:rPr>
          <w:t xml:space="preserve">Priorities for the </w:t>
        </w:r>
        <w:r w:rsidR="00A90667" w:rsidRPr="009F43F6">
          <w:rPr>
            <w:rStyle w:val="Hyperlink"/>
            <w:rFonts w:ascii="Aptos" w:hAnsi="Aptos"/>
          </w:rPr>
          <w:t xml:space="preserve">Early Years, Children, Young People and Education </w:t>
        </w:r>
        <w:r w:rsidRPr="009F43F6">
          <w:rPr>
            <w:rStyle w:val="Hyperlink"/>
            <w:rFonts w:ascii="Aptos" w:hAnsi="Aptos"/>
          </w:rPr>
          <w:t>Committee</w:t>
        </w:r>
      </w:hyperlink>
    </w:p>
    <w:p w14:paraId="00272472" w14:textId="28418667" w:rsidR="00607319" w:rsidRPr="009F43F6" w:rsidRDefault="00607319" w:rsidP="009F43F6">
      <w:pPr>
        <w:pStyle w:val="Heading1"/>
      </w:pPr>
      <w:r w:rsidRPr="009F43F6">
        <w:t>What do you consider to be the main priorities or issues that the Committee should consider during the Seventh Senedd, and why?</w:t>
      </w:r>
    </w:p>
    <w:p w14:paraId="2BCDA7A0" w14:textId="7710073A" w:rsidR="00867AF2" w:rsidRPr="009F43F6" w:rsidRDefault="00867AF2" w:rsidP="00867AF2">
      <w:pPr>
        <w:rPr>
          <w:rFonts w:ascii="Aptos" w:hAnsi="Aptos"/>
        </w:rPr>
      </w:pPr>
      <w:r w:rsidRPr="009F43F6">
        <w:rPr>
          <w:rFonts w:ascii="Aptos" w:hAnsi="Aptos"/>
        </w:rPr>
        <w:t xml:space="preserve">The following submission sets out three substantive priorities for the Seventh Senedd alongside a cross-cutting priority concerning the use of administrative data relating to children and young people. These recommendations are drawn from the research and expertise of the </w:t>
      </w:r>
      <w:hyperlink r:id="rId15" w:history="1">
        <w:r w:rsidRPr="009F43F6">
          <w:rPr>
            <w:rStyle w:val="Hyperlink"/>
            <w:rFonts w:ascii="Aptos" w:hAnsi="Aptos"/>
          </w:rPr>
          <w:t>ADR Wales Education</w:t>
        </w:r>
      </w:hyperlink>
      <w:r w:rsidRPr="009F43F6">
        <w:rPr>
          <w:rFonts w:ascii="Aptos" w:hAnsi="Aptos"/>
        </w:rPr>
        <w:t xml:space="preserve"> team </w:t>
      </w:r>
      <w:r w:rsidRPr="009F43F6">
        <w:rPr>
          <w:rFonts w:ascii="Aptos" w:hAnsi="Aptos"/>
        </w:rPr>
        <w:t xml:space="preserve">within the </w:t>
      </w:r>
      <w:hyperlink r:id="rId16" w:history="1">
        <w:r w:rsidRPr="009F43F6">
          <w:rPr>
            <w:rStyle w:val="Hyperlink"/>
            <w:rFonts w:ascii="Aptos" w:hAnsi="Aptos"/>
          </w:rPr>
          <w:t>Wales Institute of Social and Economic Research and Data (WISERD)</w:t>
        </w:r>
      </w:hyperlink>
      <w:r w:rsidRPr="009F43F6">
        <w:rPr>
          <w:rFonts w:ascii="Aptos" w:hAnsi="Aptos"/>
        </w:rPr>
        <w:t xml:space="preserve"> at </w:t>
      </w:r>
      <w:hyperlink r:id="rId17" w:history="1">
        <w:r w:rsidRPr="009F43F6">
          <w:rPr>
            <w:rStyle w:val="Hyperlink"/>
            <w:rFonts w:ascii="Aptos" w:hAnsi="Aptos"/>
          </w:rPr>
          <w:t>Cardiff University</w:t>
        </w:r>
      </w:hyperlink>
      <w:r w:rsidRPr="009F43F6">
        <w:rPr>
          <w:rFonts w:ascii="Aptos" w:hAnsi="Aptos"/>
        </w:rPr>
        <w:t xml:space="preserve">, </w:t>
      </w:r>
      <w:r w:rsidRPr="009F43F6">
        <w:rPr>
          <w:rFonts w:ascii="Aptos" w:hAnsi="Aptos"/>
        </w:rPr>
        <w:t>and reflect areas where parliamentary scrutiny could make a significant contribution to improving educational outcomes and opportunities for children and young people in Wales.</w:t>
      </w:r>
    </w:p>
    <w:p w14:paraId="0BA47394" w14:textId="77777777" w:rsidR="00867AF2" w:rsidRPr="009F43F6" w:rsidRDefault="00867AF2" w:rsidP="00867AF2">
      <w:pPr>
        <w:rPr>
          <w:rFonts w:ascii="Aptos" w:hAnsi="Aptos"/>
        </w:rPr>
      </w:pPr>
      <w:r w:rsidRPr="009F43F6">
        <w:rPr>
          <w:rFonts w:ascii="Aptos" w:hAnsi="Aptos"/>
        </w:rPr>
        <w:t>Our research combines population-scale administrative data with educational and social science expertise to understand how individual, family, school and community factors shape children's educational experiences and longer-term outcomes. This work provides a uniquely Welsh evidence base on issues including educational inequalities, curriculum reform, learner progression, attendance, language and educational transitions.</w:t>
      </w:r>
    </w:p>
    <w:p w14:paraId="4DB8E243" w14:textId="6F620405" w:rsidR="007E5587" w:rsidRDefault="00867AF2" w:rsidP="00D10993">
      <w:pPr>
        <w:rPr>
          <w:rFonts w:ascii="Aptos" w:hAnsi="Aptos"/>
        </w:rPr>
      </w:pPr>
      <w:r w:rsidRPr="009F43F6">
        <w:rPr>
          <w:rFonts w:ascii="Aptos" w:hAnsi="Aptos"/>
        </w:rPr>
        <w:t>Collectively, the priorities identified in this response reflect a common concern: ensuring that major policy ambitions are matched by robust evidence about their implementation, impact and equity. Across each area, we identify opportunities for the Committee to strengthen scrutiny, improve accountability and support the use of evidence in policy and practice. We also encourage the Committee to consider whether current arrangements for accessing and using administrative data are maximising their potential public value for children, young people and frontline services in Wales.</w:t>
      </w:r>
    </w:p>
    <w:p w14:paraId="4222C747" w14:textId="77777777" w:rsidR="009F43F6" w:rsidRPr="009F43F6" w:rsidRDefault="009F43F6" w:rsidP="00D10993">
      <w:pPr>
        <w:rPr>
          <w:rFonts w:ascii="Aptos" w:hAnsi="Aptos"/>
        </w:rPr>
      </w:pPr>
    </w:p>
    <w:p w14:paraId="2556AE13" w14:textId="77777777" w:rsidR="007E5587" w:rsidRPr="009F43F6" w:rsidRDefault="007E5587" w:rsidP="009F43F6">
      <w:pPr>
        <w:pStyle w:val="Heading1"/>
      </w:pPr>
      <w:r w:rsidRPr="009F43F6">
        <w:lastRenderedPageBreak/>
        <w:t>Evaluating Whether Curriculum for Wales Is Delivering for Disadvantaged Learners</w:t>
      </w:r>
    </w:p>
    <w:p w14:paraId="0960CDC5" w14:textId="77777777" w:rsidR="007E5587" w:rsidRPr="009F43F6" w:rsidRDefault="007E5587" w:rsidP="007E5587">
      <w:pPr>
        <w:rPr>
          <w:rFonts w:ascii="Aptos" w:hAnsi="Aptos"/>
        </w:rPr>
      </w:pPr>
      <w:r w:rsidRPr="009F43F6">
        <w:rPr>
          <w:rFonts w:ascii="Aptos" w:hAnsi="Aptos"/>
        </w:rPr>
        <w:t>The Committee is urged to undertake an inquiry examining whether Wales currently has sufficient evidence to assess the impact of Curriculum for Wales on educational inequalities and whether the reform is delivering equitable outcomes for disadvantaged learners.</w:t>
      </w:r>
    </w:p>
    <w:p w14:paraId="61C2C140" w14:textId="2AB8B409" w:rsidR="007E5587" w:rsidRPr="009F43F6" w:rsidRDefault="007E5587" w:rsidP="007E5587">
      <w:pPr>
        <w:rPr>
          <w:rFonts w:ascii="Aptos" w:hAnsi="Aptos"/>
        </w:rPr>
      </w:pPr>
      <w:r w:rsidRPr="009F43F6">
        <w:rPr>
          <w:rFonts w:ascii="Aptos" w:hAnsi="Aptos"/>
        </w:rPr>
        <w:t xml:space="preserve">Curriculum for Wales represents one of the most significant educational reforms undertaken in Wales since devolution. Central to its vision is a commitment to enabling all learners to realise the four purposes, regardless of their socio-economic background or personal circumstances. However, concerns regarding the relationship between curriculum reform and educational inequality are not new. </w:t>
      </w:r>
      <w:r w:rsidR="00611F04" w:rsidRPr="009F43F6">
        <w:rPr>
          <w:rFonts w:ascii="Aptos" w:hAnsi="Aptos"/>
        </w:rPr>
        <w:t>Our previous r</w:t>
      </w:r>
      <w:r w:rsidRPr="009F43F6">
        <w:rPr>
          <w:rFonts w:ascii="Aptos" w:hAnsi="Aptos"/>
        </w:rPr>
        <w:t xml:space="preserve">esearch undertaken during the development of the Donaldson reforms, </w:t>
      </w:r>
      <w:r w:rsidRPr="009F43F6">
        <w:rPr>
          <w:rFonts w:ascii="Aptos" w:hAnsi="Aptos"/>
          <w:i/>
          <w:iCs/>
        </w:rPr>
        <w:t>Successful Futures for All</w:t>
      </w:r>
      <w:r w:rsidR="00EB5C14" w:rsidRPr="009F43F6">
        <w:rPr>
          <w:rFonts w:ascii="Aptos" w:hAnsi="Aptos"/>
          <w:i/>
          <w:iCs/>
        </w:rPr>
        <w:t xml:space="preserve"> </w:t>
      </w:r>
      <w:r w:rsidR="00EB5C14" w:rsidRPr="009F43F6">
        <w:rPr>
          <w:rFonts w:ascii="Aptos" w:hAnsi="Aptos"/>
        </w:rPr>
        <w:t>(Power et al</w:t>
      </w:r>
      <w:r w:rsidR="00A705C0" w:rsidRPr="009F43F6">
        <w:rPr>
          <w:rFonts w:ascii="Aptos" w:hAnsi="Aptos"/>
        </w:rPr>
        <w:t>.,</w:t>
      </w:r>
      <w:r w:rsidR="00EB5C14" w:rsidRPr="009F43F6">
        <w:rPr>
          <w:rFonts w:ascii="Aptos" w:hAnsi="Aptos"/>
        </w:rPr>
        <w:t xml:space="preserve"> 2020)</w:t>
      </w:r>
      <w:r w:rsidRPr="009F43F6">
        <w:rPr>
          <w:rFonts w:ascii="Aptos" w:hAnsi="Aptos"/>
        </w:rPr>
        <w:t>, highlighted the potential risk that greater school autonomy and flexibility could result in uneven implementation where schools differ substantially in their resources, workforce capacity, expertise and local contexts. The research raised questions about whether schools serving disadvantaged communities would have the same capacity to realise the ambitions of the new curriculum as schools operating in more favourable circumstances.</w:t>
      </w:r>
    </w:p>
    <w:p w14:paraId="077CA76B" w14:textId="7152718D" w:rsidR="007E5587" w:rsidRPr="009F43F6" w:rsidRDefault="007E5587" w:rsidP="007E5587">
      <w:pPr>
        <w:rPr>
          <w:rFonts w:ascii="Aptos" w:hAnsi="Aptos"/>
        </w:rPr>
      </w:pPr>
      <w:r w:rsidRPr="009F43F6">
        <w:rPr>
          <w:rFonts w:ascii="Aptos" w:hAnsi="Aptos"/>
        </w:rPr>
        <w:t xml:space="preserve">These concerns are reinforced by evidence from previous curriculum reform in Wales. </w:t>
      </w:r>
      <w:r w:rsidR="00A705C0" w:rsidRPr="009F43F6">
        <w:rPr>
          <w:rFonts w:ascii="Aptos" w:hAnsi="Aptos"/>
        </w:rPr>
        <w:t>Our r</w:t>
      </w:r>
      <w:r w:rsidRPr="009F43F6">
        <w:rPr>
          <w:rFonts w:ascii="Aptos" w:hAnsi="Aptos"/>
        </w:rPr>
        <w:t>esearch examining the implementation and impact of the Foundation Phase found that although the policy introduced important pedagogical innovations, implementation varied considerably across settings and there was limited evidence that the reform reduced educational inequalities</w:t>
      </w:r>
      <w:r w:rsidR="00A705C0" w:rsidRPr="009F43F6">
        <w:rPr>
          <w:rFonts w:ascii="Aptos" w:hAnsi="Aptos"/>
        </w:rPr>
        <w:t xml:space="preserve"> </w:t>
      </w:r>
      <w:r w:rsidR="00203C88" w:rsidRPr="009F43F6">
        <w:rPr>
          <w:rFonts w:ascii="Aptos" w:hAnsi="Aptos"/>
        </w:rPr>
        <w:t>(</w:t>
      </w:r>
      <w:hyperlink r:id="rId18" w:history="1">
        <w:r w:rsidR="003733EB" w:rsidRPr="009F43F6">
          <w:rPr>
            <w:rStyle w:val="Hyperlink"/>
            <w:rFonts w:ascii="Aptos" w:hAnsi="Aptos"/>
          </w:rPr>
          <w:t>Taylor et al., 2015</w:t>
        </w:r>
      </w:hyperlink>
      <w:r w:rsidR="003733EB" w:rsidRPr="009F43F6">
        <w:rPr>
          <w:rFonts w:ascii="Aptos" w:hAnsi="Aptos"/>
        </w:rPr>
        <w:t xml:space="preserve">; </w:t>
      </w:r>
      <w:hyperlink r:id="rId19" w:history="1">
        <w:r w:rsidR="00203C88" w:rsidRPr="009F43F6">
          <w:rPr>
            <w:rStyle w:val="Hyperlink"/>
            <w:rFonts w:ascii="Aptos" w:hAnsi="Aptos"/>
          </w:rPr>
          <w:t>Taylor et al., 2016</w:t>
        </w:r>
      </w:hyperlink>
      <w:r w:rsidR="00203C88" w:rsidRPr="009F43F6">
        <w:rPr>
          <w:rFonts w:ascii="Aptos" w:hAnsi="Aptos"/>
        </w:rPr>
        <w:t>)</w:t>
      </w:r>
      <w:r w:rsidRPr="009F43F6">
        <w:rPr>
          <w:rFonts w:ascii="Aptos" w:hAnsi="Aptos"/>
        </w:rPr>
        <w:t xml:space="preserve">. Indeed, </w:t>
      </w:r>
      <w:r w:rsidR="00C32B3A" w:rsidRPr="009F43F6">
        <w:rPr>
          <w:rFonts w:ascii="Aptos" w:hAnsi="Aptos"/>
        </w:rPr>
        <w:t>our research</w:t>
      </w:r>
      <w:r w:rsidRPr="009F43F6">
        <w:rPr>
          <w:rFonts w:ascii="Aptos" w:hAnsi="Aptos"/>
        </w:rPr>
        <w:t xml:space="preserve"> suggested that the benefits of curriculum reform were not experienced equally by all learners, highlighting the importance of understanding how system capacity, local context and socio-economic disadvantage interact with educational reform.</w:t>
      </w:r>
    </w:p>
    <w:p w14:paraId="542F6E50" w14:textId="1968523E" w:rsidR="007E5587" w:rsidRPr="009F43F6" w:rsidRDefault="007E5587" w:rsidP="007E5587">
      <w:pPr>
        <w:rPr>
          <w:rFonts w:ascii="Aptos" w:hAnsi="Aptos"/>
        </w:rPr>
      </w:pPr>
      <w:r w:rsidRPr="009F43F6">
        <w:rPr>
          <w:rFonts w:ascii="Aptos" w:hAnsi="Aptos"/>
        </w:rPr>
        <w:t xml:space="preserve">The Welsh Government has established an ambitious programme of evaluation for Curriculum for Wales, including dedicated studies examining equity and inclusion within curriculum realisation. These studies have generated valuable insights into how schools are designing and implementing the curriculum and how practitioners understand issues of inclusion and learner support. However, the evaluation programme to date has focused predominantly on implementation processes, school practices and practitioner experiences rather than on the reform's impact on educational inequalities and learner outcomes. Existing studies provide important evidence regarding how schools are enacting the </w:t>
      </w:r>
      <w:proofErr w:type="gramStart"/>
      <w:r w:rsidRPr="009F43F6">
        <w:rPr>
          <w:rFonts w:ascii="Aptos" w:hAnsi="Aptos"/>
        </w:rPr>
        <w:t>reforms, but</w:t>
      </w:r>
      <w:proofErr w:type="gramEnd"/>
      <w:r w:rsidRPr="009F43F6">
        <w:rPr>
          <w:rFonts w:ascii="Aptos" w:hAnsi="Aptos"/>
        </w:rPr>
        <w:t xml:space="preserve"> are less able to determine whether Curriculum for Wales is narrowing, maintaining or widening disparities in attainment, progression and longer-term educational outcomes.</w:t>
      </w:r>
    </w:p>
    <w:p w14:paraId="3AA7E6FA" w14:textId="77777777" w:rsidR="007E5587" w:rsidRPr="009F43F6" w:rsidRDefault="007E5587" w:rsidP="007E5587">
      <w:pPr>
        <w:rPr>
          <w:rFonts w:ascii="Aptos" w:hAnsi="Aptos"/>
        </w:rPr>
      </w:pPr>
      <w:r w:rsidRPr="009F43F6">
        <w:rPr>
          <w:rFonts w:ascii="Aptos" w:hAnsi="Aptos"/>
        </w:rPr>
        <w:t xml:space="preserve">As Curriculum for Wales moves from implementation towards consolidation, there is a growing need to assess its impact on disadvantaged learners across the educational lifecycle. Understanding whether the reform is improving engagement, attendance, attainment, progression, post-16 participation and transitions into higher education and </w:t>
      </w:r>
      <w:r w:rsidRPr="009F43F6">
        <w:rPr>
          <w:rFonts w:ascii="Aptos" w:hAnsi="Aptos"/>
        </w:rPr>
        <w:lastRenderedPageBreak/>
        <w:t>employment for disadvantaged learners is critical to determining whether the curriculum is achieving one of its central ambitions: improving outcomes for all learners.</w:t>
      </w:r>
    </w:p>
    <w:p w14:paraId="5654DE95" w14:textId="77777777" w:rsidR="007E5587" w:rsidRPr="009F43F6" w:rsidRDefault="007E5587" w:rsidP="007E5587">
      <w:pPr>
        <w:rPr>
          <w:rFonts w:ascii="Aptos" w:hAnsi="Aptos"/>
        </w:rPr>
      </w:pPr>
      <w:r w:rsidRPr="009F43F6">
        <w:rPr>
          <w:rFonts w:ascii="Aptos" w:hAnsi="Aptos"/>
        </w:rPr>
        <w:t>The Committee therefore has an important opportunity to examine whether current monitoring and evaluation arrangements are sufficient to assess the equity impacts of curriculum reform, and whether additional evidence, administrative data linkage and longitudinal analysis are required to understand how the benefits of Curriculum for Wales are being distributed across different groups of learners.</w:t>
      </w:r>
    </w:p>
    <w:p w14:paraId="10EBEB33" w14:textId="77777777" w:rsidR="007E5587" w:rsidRPr="009F43F6" w:rsidRDefault="007E5587" w:rsidP="007E5587">
      <w:pPr>
        <w:rPr>
          <w:rFonts w:ascii="Aptos" w:hAnsi="Aptos"/>
        </w:rPr>
      </w:pPr>
      <w:r w:rsidRPr="009F43F6">
        <w:rPr>
          <w:rFonts w:ascii="Aptos" w:hAnsi="Aptos"/>
        </w:rPr>
        <w:t>Should the Committee adopt this priority, it is recommended that the inquiry consider:</w:t>
      </w:r>
    </w:p>
    <w:p w14:paraId="45AABAAD" w14:textId="3C919698" w:rsidR="007E5587" w:rsidRPr="009F43F6" w:rsidRDefault="007E5587" w:rsidP="00C32B3A">
      <w:pPr>
        <w:numPr>
          <w:ilvl w:val="0"/>
          <w:numId w:val="47"/>
        </w:numPr>
        <w:spacing w:before="0" w:after="0"/>
        <w:rPr>
          <w:rFonts w:ascii="Aptos" w:hAnsi="Aptos"/>
        </w:rPr>
      </w:pPr>
      <w:r w:rsidRPr="009F43F6">
        <w:rPr>
          <w:rFonts w:ascii="Aptos" w:hAnsi="Aptos"/>
        </w:rPr>
        <w:t xml:space="preserve">Whether the current Curriculum for Wales evaluation programme </w:t>
      </w:r>
      <w:proofErr w:type="gramStart"/>
      <w:r w:rsidRPr="009F43F6">
        <w:rPr>
          <w:rFonts w:ascii="Aptos" w:hAnsi="Aptos"/>
        </w:rPr>
        <w:t>is capable of identifying</w:t>
      </w:r>
      <w:proofErr w:type="gramEnd"/>
      <w:r w:rsidRPr="009F43F6">
        <w:rPr>
          <w:rFonts w:ascii="Aptos" w:hAnsi="Aptos"/>
        </w:rPr>
        <w:t xml:space="preserve"> differential impacts for socio-economically disadvantaged learners and measuring changes in educational inequality over time.</w:t>
      </w:r>
    </w:p>
    <w:p w14:paraId="41C84CB3" w14:textId="384B1FE2" w:rsidR="007E5587" w:rsidRPr="009F43F6" w:rsidRDefault="007E5587" w:rsidP="00C32B3A">
      <w:pPr>
        <w:numPr>
          <w:ilvl w:val="0"/>
          <w:numId w:val="47"/>
        </w:numPr>
        <w:spacing w:before="0" w:after="0"/>
        <w:rPr>
          <w:rFonts w:ascii="Aptos" w:hAnsi="Aptos"/>
        </w:rPr>
      </w:pPr>
      <w:r w:rsidRPr="009F43F6">
        <w:rPr>
          <w:rFonts w:ascii="Aptos" w:hAnsi="Aptos"/>
        </w:rPr>
        <w:t>Whether schools serving disadvantaged communities have the resources, workforce capacity and specialist support required to realise the ambitions of Curriculum for Wales.</w:t>
      </w:r>
    </w:p>
    <w:p w14:paraId="3C333E4D" w14:textId="3512F2B3" w:rsidR="007E5587" w:rsidRPr="009F43F6" w:rsidRDefault="007E5587" w:rsidP="00C32B3A">
      <w:pPr>
        <w:numPr>
          <w:ilvl w:val="0"/>
          <w:numId w:val="47"/>
        </w:numPr>
        <w:spacing w:before="0" w:after="0"/>
        <w:rPr>
          <w:rFonts w:ascii="Aptos" w:hAnsi="Aptos"/>
        </w:rPr>
      </w:pPr>
      <w:r w:rsidRPr="009F43F6">
        <w:rPr>
          <w:rFonts w:ascii="Aptos" w:hAnsi="Aptos"/>
        </w:rPr>
        <w:t>What evidence exists regarding the curriculum's impact on attainment gaps, learner engagement, attendance, progression and post-16 destinations.</w:t>
      </w:r>
    </w:p>
    <w:p w14:paraId="14E9F08F" w14:textId="32F58F73" w:rsidR="007E5587" w:rsidRPr="009F43F6" w:rsidRDefault="007E5587" w:rsidP="00C32B3A">
      <w:pPr>
        <w:numPr>
          <w:ilvl w:val="0"/>
          <w:numId w:val="47"/>
        </w:numPr>
        <w:spacing w:before="0" w:after="0"/>
        <w:rPr>
          <w:rFonts w:ascii="Aptos" w:hAnsi="Aptos"/>
        </w:rPr>
      </w:pPr>
      <w:r w:rsidRPr="009F43F6">
        <w:rPr>
          <w:rFonts w:ascii="Aptos" w:hAnsi="Aptos"/>
        </w:rPr>
        <w:t>Whether greater curriculum flexibility and school autonomy are associated with systematic differences in learning opportunities between schools and communities.</w:t>
      </w:r>
    </w:p>
    <w:p w14:paraId="6DBE5698" w14:textId="118D0120" w:rsidR="007E5587" w:rsidRPr="009F43F6" w:rsidRDefault="007E5587" w:rsidP="00C32B3A">
      <w:pPr>
        <w:numPr>
          <w:ilvl w:val="0"/>
          <w:numId w:val="47"/>
        </w:numPr>
        <w:spacing w:before="0" w:after="0"/>
        <w:rPr>
          <w:rFonts w:ascii="Aptos" w:hAnsi="Aptos"/>
        </w:rPr>
      </w:pPr>
      <w:proofErr w:type="gramStart"/>
      <w:r w:rsidRPr="009F43F6">
        <w:rPr>
          <w:rFonts w:ascii="Aptos" w:hAnsi="Aptos"/>
        </w:rPr>
        <w:t>How</w:t>
      </w:r>
      <w:proofErr w:type="gramEnd"/>
      <w:r w:rsidRPr="009F43F6">
        <w:rPr>
          <w:rFonts w:ascii="Aptos" w:hAnsi="Aptos"/>
        </w:rPr>
        <w:t xml:space="preserve"> administrative data, longitudinal research and linked educational datasets can be used to evaluate the long-term impact of curriculum reform on disadvantaged learners.</w:t>
      </w:r>
    </w:p>
    <w:p w14:paraId="1D688AD0" w14:textId="77777777" w:rsidR="000F471C" w:rsidRPr="009F43F6" w:rsidRDefault="000F471C" w:rsidP="009F43F6">
      <w:pPr>
        <w:pStyle w:val="ListParagraph"/>
      </w:pPr>
    </w:p>
    <w:p w14:paraId="301051AD" w14:textId="77777777" w:rsidR="0055707D" w:rsidRPr="009F43F6" w:rsidRDefault="0055707D" w:rsidP="00F55801">
      <w:pPr>
        <w:pStyle w:val="Heading1"/>
      </w:pPr>
      <w:r w:rsidRPr="009F43F6">
        <w:t>The "Language Penalty" in Science and Technology Education</w:t>
      </w:r>
    </w:p>
    <w:p w14:paraId="7D1A2D3D" w14:textId="77777777" w:rsidR="0055707D" w:rsidRPr="009F43F6" w:rsidRDefault="0055707D" w:rsidP="0055707D">
      <w:pPr>
        <w:rPr>
          <w:rFonts w:ascii="Aptos" w:hAnsi="Aptos"/>
        </w:rPr>
      </w:pPr>
      <w:r w:rsidRPr="009F43F6">
        <w:rPr>
          <w:rFonts w:ascii="Aptos" w:hAnsi="Aptos"/>
        </w:rPr>
        <w:t xml:space="preserve">We encourage the Committee to consider the intersection of Welsh-medium education, language proficiency, and progression in science and technology as a priority in the Seventh Senedd. </w:t>
      </w:r>
    </w:p>
    <w:p w14:paraId="704683BB" w14:textId="77777777" w:rsidR="0055707D" w:rsidRPr="009F43F6" w:rsidRDefault="0055707D" w:rsidP="0055707D">
      <w:pPr>
        <w:rPr>
          <w:rFonts w:ascii="Aptos" w:hAnsi="Aptos"/>
        </w:rPr>
      </w:pPr>
      <w:r w:rsidRPr="009F43F6">
        <w:rPr>
          <w:rFonts w:ascii="Aptos" w:hAnsi="Aptos"/>
        </w:rPr>
        <w:t>Investment in science and technology is increasingly important to Wales’s economic future, from sustainable steel production to the development of a growing semiconductor sector. As society becomes increasingly reliant on scientific and technological advances, ensuring that all young people can access high-quality STEM education is essential to developing the skilled workforce and STEM-literate population that Wales needs.</w:t>
      </w:r>
    </w:p>
    <w:p w14:paraId="5C387F77" w14:textId="77777777" w:rsidR="0055707D" w:rsidRPr="009F43F6" w:rsidRDefault="0055707D" w:rsidP="0055707D">
      <w:pPr>
        <w:rPr>
          <w:rFonts w:ascii="Aptos" w:hAnsi="Aptos"/>
        </w:rPr>
      </w:pPr>
      <w:r w:rsidRPr="009F43F6">
        <w:rPr>
          <w:rFonts w:ascii="Aptos" w:hAnsi="Aptos"/>
        </w:rPr>
        <w:t>However, English remains the dominant language of international scientific publication and communication (</w:t>
      </w:r>
      <w:hyperlink r:id="rId20" w:history="1">
        <w:r w:rsidRPr="009F43F6">
          <w:rPr>
            <w:rStyle w:val="Hyperlink"/>
            <w:rFonts w:ascii="Aptos" w:hAnsi="Aptos"/>
          </w:rPr>
          <w:t>Ferguson et al., 2011</w:t>
        </w:r>
      </w:hyperlink>
      <w:r w:rsidRPr="009F43F6">
        <w:rPr>
          <w:rFonts w:ascii="Aptos" w:hAnsi="Aptos"/>
        </w:rPr>
        <w:t>). In a bilingual nation with ambitions to expand the use of Welsh and, critically, increase Welsh-medium education provision to 50% of pupils (</w:t>
      </w:r>
      <w:hyperlink r:id="rId21" w:anchor="A106479" w:history="1">
        <w:r w:rsidRPr="009F43F6">
          <w:rPr>
            <w:rStyle w:val="Hyperlink"/>
            <w:rFonts w:ascii="Aptos" w:hAnsi="Aptos"/>
          </w:rPr>
          <w:t>Brychan, A [Cabinet Minister for Education and the Welsh Language], 2026</w:t>
        </w:r>
      </w:hyperlink>
      <w:r w:rsidRPr="009F43F6">
        <w:rPr>
          <w:rFonts w:ascii="Aptos" w:hAnsi="Aptos"/>
        </w:rPr>
        <w:t xml:space="preserve">), this presents </w:t>
      </w:r>
      <w:r w:rsidRPr="009F43F6">
        <w:rPr>
          <w:rFonts w:ascii="Aptos" w:hAnsi="Aptos"/>
        </w:rPr>
        <w:lastRenderedPageBreak/>
        <w:t xml:space="preserve">an important and under-examined question: </w:t>
      </w:r>
      <w:r w:rsidRPr="009F43F6">
        <w:rPr>
          <w:rFonts w:ascii="Aptos" w:hAnsi="Aptos"/>
          <w:b/>
          <w:bCs/>
        </w:rPr>
        <w:t>does language create additional barriers to young people’s participation and progression in science and technology?</w:t>
      </w:r>
    </w:p>
    <w:p w14:paraId="7E7ECCAC" w14:textId="77777777" w:rsidR="0055707D" w:rsidRPr="009F43F6" w:rsidRDefault="0055707D" w:rsidP="0055707D">
      <w:pPr>
        <w:rPr>
          <w:rFonts w:ascii="Aptos" w:hAnsi="Aptos"/>
        </w:rPr>
      </w:pPr>
      <w:r w:rsidRPr="009F43F6">
        <w:rPr>
          <w:rFonts w:ascii="Aptos" w:hAnsi="Aptos"/>
        </w:rPr>
        <w:t>This is not simply a question of whether pupils speak Welsh or English. Pupils may have different levels of proficiency in Welsh, English and other languages, while their home language, language of education and language of assessment may differ. School language medium is therefore an unreliable proxy for language proficiency or educational capacity. The linguistic demands of science, including increasingly specialised terminology, complex syntax and scientific explanation, may create additional challenges where pupils are simultaneously developing subject knowledge and proficiency in the language through which it is taught.</w:t>
      </w:r>
    </w:p>
    <w:p w14:paraId="617ED785" w14:textId="5EAEB42B" w:rsidR="0055707D" w:rsidRPr="009F43F6" w:rsidRDefault="0055707D" w:rsidP="0055707D">
      <w:pPr>
        <w:rPr>
          <w:rFonts w:ascii="Aptos" w:hAnsi="Aptos"/>
        </w:rPr>
      </w:pPr>
      <w:r w:rsidRPr="009F43F6">
        <w:rPr>
          <w:rFonts w:ascii="Aptos" w:hAnsi="Aptos"/>
        </w:rPr>
        <w:t>There is emerging evidence that language may influence STEM pathways. Research suggests that some Welsh/bilingual pupils make subject choices partly according to their perceived language proficiency rather than subject interest alone (</w:t>
      </w:r>
      <w:hyperlink r:id="rId22" w:history="1">
        <w:r w:rsidRPr="009F43F6">
          <w:rPr>
            <w:rStyle w:val="Hyperlink"/>
            <w:rFonts w:ascii="Aptos" w:hAnsi="Aptos"/>
          </w:rPr>
          <w:t>Thomas et al., 2024</w:t>
        </w:r>
      </w:hyperlink>
      <w:r w:rsidRPr="009F43F6">
        <w:rPr>
          <w:rFonts w:ascii="Aptos" w:hAnsi="Aptos"/>
        </w:rPr>
        <w:t>). There are also differences in progression between Welsh- and English-medium pupils across science subjects: pupils educated in Welsh-medium schools are less likely to pursue biology beyond age 16 but more likely to pursue physics (</w:t>
      </w:r>
      <w:hyperlink r:id="rId23" w:history="1">
        <w:r w:rsidRPr="009F43F6">
          <w:rPr>
            <w:rStyle w:val="Hyperlink"/>
            <w:rFonts w:ascii="Aptos" w:hAnsi="Aptos"/>
          </w:rPr>
          <w:t>Bartlett, 2026</w:t>
        </w:r>
      </w:hyperlink>
      <w:r w:rsidRPr="009F43F6">
        <w:rPr>
          <w:rFonts w:ascii="Aptos" w:hAnsi="Aptos"/>
        </w:rPr>
        <w:t>). The greater reliance on terminology and extended explanation in biology compared with the mathematical nature of physics provides one potential explanation for this divergence.</w:t>
      </w:r>
    </w:p>
    <w:p w14:paraId="5A1EFEE1" w14:textId="77777777" w:rsidR="0055707D" w:rsidRPr="009F43F6" w:rsidRDefault="0055707D" w:rsidP="0055707D">
      <w:pPr>
        <w:rPr>
          <w:rFonts w:ascii="Aptos" w:hAnsi="Aptos"/>
        </w:rPr>
      </w:pPr>
      <w:r w:rsidRPr="009F43F6">
        <w:rPr>
          <w:rFonts w:ascii="Aptos" w:hAnsi="Aptos"/>
        </w:rPr>
        <w:t>The capacity of the education system to address these challenges also warrants attention. Specialist science teacher recruitment is particularly challenging in Welsh-medium education (</w:t>
      </w:r>
      <w:hyperlink r:id="rId24" w:history="1">
        <w:r w:rsidRPr="009F43F6">
          <w:rPr>
            <w:rStyle w:val="Hyperlink"/>
            <w:rFonts w:ascii="Aptos" w:hAnsi="Aptos"/>
          </w:rPr>
          <w:t>Ghosh et al., 2022</w:t>
        </w:r>
      </w:hyperlink>
      <w:r w:rsidRPr="009F43F6">
        <w:rPr>
          <w:rFonts w:ascii="Aptos" w:hAnsi="Aptos"/>
        </w:rPr>
        <w:t>). Research into the science teacher workforce found that in 2021, 72% of science teachers in English-medium schools held a university degree in a science discipline, compared with 58% in Welsh-medium schools (</w:t>
      </w:r>
      <w:hyperlink r:id="rId25" w:history="1">
        <w:r w:rsidRPr="009F43F6">
          <w:rPr>
            <w:rStyle w:val="Hyperlink"/>
            <w:rFonts w:ascii="Aptos" w:hAnsi="Aptos"/>
          </w:rPr>
          <w:t>Bartlett &amp; Huxley, 2026</w:t>
        </w:r>
      </w:hyperlink>
      <w:r w:rsidRPr="009F43F6">
        <w:rPr>
          <w:rFonts w:ascii="Aptos" w:hAnsi="Aptos"/>
        </w:rPr>
        <w:t>). Alongside concerns about the availability of Welsh-medium science resources, digital infrastructure and AI tools (</w:t>
      </w:r>
      <w:hyperlink r:id="rId26" w:history="1">
        <w:r w:rsidRPr="009F43F6">
          <w:rPr>
            <w:rStyle w:val="Hyperlink"/>
            <w:rFonts w:ascii="Aptos" w:hAnsi="Aptos"/>
          </w:rPr>
          <w:t>Senedd Cymru, 2024</w:t>
        </w:r>
      </w:hyperlink>
      <w:r w:rsidRPr="009F43F6">
        <w:rPr>
          <w:rFonts w:ascii="Aptos" w:hAnsi="Aptos"/>
        </w:rPr>
        <w:t>), this raises questions about whether Welsh-medium science education has the resources and specialist capacity required to keep pace with developments in science and technology.</w:t>
      </w:r>
    </w:p>
    <w:p w14:paraId="7224D75A" w14:textId="77777777" w:rsidR="0055707D" w:rsidRPr="009F43F6" w:rsidRDefault="0055707D" w:rsidP="0055707D">
      <w:pPr>
        <w:rPr>
          <w:rFonts w:ascii="Aptos" w:hAnsi="Aptos"/>
        </w:rPr>
      </w:pPr>
      <w:r w:rsidRPr="009F43F6">
        <w:rPr>
          <w:rFonts w:ascii="Aptos" w:hAnsi="Aptos"/>
        </w:rPr>
        <w:t>We therefore recommend that the Committee investigate the following three areas:</w:t>
      </w:r>
    </w:p>
    <w:p w14:paraId="0A667AD4" w14:textId="77777777" w:rsidR="0055707D" w:rsidRPr="000E6542" w:rsidRDefault="0055707D" w:rsidP="009F43F6">
      <w:pPr>
        <w:pStyle w:val="ListParagraph"/>
        <w:numPr>
          <w:ilvl w:val="0"/>
          <w:numId w:val="46"/>
        </w:numPr>
        <w:rPr>
          <w:rFonts w:ascii="Aptos" w:hAnsi="Aptos"/>
          <w:b w:val="0"/>
          <w:bCs w:val="0"/>
          <w:u w:val="none"/>
        </w:rPr>
      </w:pPr>
      <w:r w:rsidRPr="000E6542">
        <w:rPr>
          <w:rFonts w:ascii="Aptos" w:hAnsi="Aptos"/>
          <w:b w:val="0"/>
          <w:bCs w:val="0"/>
          <w:u w:val="none"/>
        </w:rPr>
        <w:t>How language is used and experienced in Welsh/bilingual science classrooms;</w:t>
      </w:r>
    </w:p>
    <w:p w14:paraId="1882D67C" w14:textId="77777777" w:rsidR="0055707D" w:rsidRPr="000E6542" w:rsidRDefault="0055707D" w:rsidP="009F43F6">
      <w:pPr>
        <w:pStyle w:val="ListParagraph"/>
        <w:numPr>
          <w:ilvl w:val="0"/>
          <w:numId w:val="46"/>
        </w:numPr>
        <w:rPr>
          <w:rFonts w:ascii="Aptos" w:hAnsi="Aptos"/>
          <w:b w:val="0"/>
          <w:bCs w:val="0"/>
          <w:u w:val="none"/>
        </w:rPr>
      </w:pPr>
      <w:r w:rsidRPr="000E6542">
        <w:rPr>
          <w:rFonts w:ascii="Aptos" w:hAnsi="Aptos"/>
          <w:b w:val="0"/>
          <w:bCs w:val="0"/>
          <w:u w:val="none"/>
        </w:rPr>
        <w:t>The alignment between pupils’ home language, language of education, and language of assessment; and</w:t>
      </w:r>
    </w:p>
    <w:p w14:paraId="6E6B00C0" w14:textId="77777777" w:rsidR="0055707D" w:rsidRPr="000E6542" w:rsidRDefault="0055707D" w:rsidP="000E6542">
      <w:pPr>
        <w:pStyle w:val="ListParagraph"/>
        <w:numPr>
          <w:ilvl w:val="0"/>
          <w:numId w:val="46"/>
        </w:numPr>
        <w:spacing w:after="240"/>
        <w:rPr>
          <w:rFonts w:ascii="Aptos" w:hAnsi="Aptos"/>
          <w:b w:val="0"/>
          <w:bCs w:val="0"/>
          <w:u w:val="none"/>
        </w:rPr>
      </w:pPr>
      <w:r w:rsidRPr="000E6542">
        <w:rPr>
          <w:rFonts w:ascii="Aptos" w:hAnsi="Aptos"/>
          <w:b w:val="0"/>
          <w:bCs w:val="0"/>
          <w:u w:val="none"/>
        </w:rPr>
        <w:t>The availability and adequacy of Welsh-medium science teaching resources, including digital and AI-enabled resources.</w:t>
      </w:r>
    </w:p>
    <w:p w14:paraId="1A08BE50" w14:textId="77777777" w:rsidR="0055707D" w:rsidRPr="009F43F6" w:rsidRDefault="0055707D" w:rsidP="0055707D">
      <w:pPr>
        <w:rPr>
          <w:rFonts w:ascii="Aptos" w:hAnsi="Aptos"/>
        </w:rPr>
      </w:pPr>
      <w:r w:rsidRPr="009F43F6">
        <w:rPr>
          <w:rFonts w:ascii="Aptos" w:hAnsi="Aptos"/>
        </w:rPr>
        <w:t xml:space="preserve">Wales cannot afford to lose scientific talent because of barriers that could be identified and addressed within the education system. If language influences how pupils feel able to access, succeed in, or progress through </w:t>
      </w:r>
      <w:proofErr w:type="gramStart"/>
      <w:r w:rsidRPr="009F43F6">
        <w:rPr>
          <w:rFonts w:ascii="Aptos" w:hAnsi="Aptos"/>
        </w:rPr>
        <w:t>particular STEM</w:t>
      </w:r>
      <w:proofErr w:type="gramEnd"/>
      <w:r w:rsidRPr="009F43F6">
        <w:rPr>
          <w:rFonts w:ascii="Aptos" w:hAnsi="Aptos"/>
        </w:rPr>
        <w:t xml:space="preserve"> subjects, Wales may be losing </w:t>
      </w:r>
      <w:r w:rsidRPr="009F43F6">
        <w:rPr>
          <w:rFonts w:ascii="Aptos" w:hAnsi="Aptos"/>
        </w:rPr>
        <w:lastRenderedPageBreak/>
        <w:t xml:space="preserve">potential scientists, engineers and technologists before they reach further or higher education. Understanding and mitigating these potential language-related barriers would help ensure that Welsh-, English- and bilingual learners can realise their full potential and contribute to </w:t>
      </w:r>
      <w:proofErr w:type="spellStart"/>
      <w:r w:rsidRPr="009F43F6">
        <w:rPr>
          <w:rFonts w:ascii="Aptos" w:hAnsi="Aptos"/>
        </w:rPr>
        <w:t>Wales’</w:t>
      </w:r>
      <w:proofErr w:type="spellEnd"/>
      <w:r w:rsidRPr="009F43F6">
        <w:rPr>
          <w:rFonts w:ascii="Aptos" w:hAnsi="Aptos"/>
        </w:rPr>
        <w:t xml:space="preserve"> future innovation, research, and economic prosperity.</w:t>
      </w:r>
    </w:p>
    <w:p w14:paraId="38A42795" w14:textId="77777777" w:rsidR="000F471C" w:rsidRPr="009F43F6" w:rsidRDefault="000F471C" w:rsidP="009F43F6">
      <w:pPr>
        <w:pStyle w:val="ListParagraph"/>
      </w:pPr>
    </w:p>
    <w:p w14:paraId="4C4A2827" w14:textId="4EA204EF" w:rsidR="000F471C" w:rsidRPr="009F43F6" w:rsidRDefault="000F471C" w:rsidP="000E6542">
      <w:pPr>
        <w:pStyle w:val="Heading1"/>
      </w:pPr>
      <w:r w:rsidRPr="009F43F6">
        <w:t>Inside the Black Box: Scrutinising School-Level Budgeting, Revenue Generation, and Educational Equity in Wales</w:t>
      </w:r>
    </w:p>
    <w:p w14:paraId="53F34E16" w14:textId="77777777" w:rsidR="000F471C" w:rsidRPr="009F43F6" w:rsidRDefault="000F471C" w:rsidP="000F471C">
      <w:pPr>
        <w:rPr>
          <w:rFonts w:ascii="Aptos" w:hAnsi="Aptos"/>
        </w:rPr>
      </w:pPr>
      <w:r w:rsidRPr="009F43F6">
        <w:rPr>
          <w:rFonts w:ascii="Aptos" w:hAnsi="Aptos"/>
        </w:rPr>
        <w:t xml:space="preserve">The Committee is urged to undertake a dedicated inquiry into </w:t>
      </w:r>
      <w:r w:rsidRPr="009F43F6">
        <w:rPr>
          <w:rFonts w:ascii="Aptos" w:hAnsi="Aptos"/>
          <w:b/>
          <w:bCs/>
        </w:rPr>
        <w:t>how individual schools allocate their delegated budgets and generate supplementary revenue</w:t>
      </w:r>
      <w:r w:rsidRPr="009F43F6">
        <w:rPr>
          <w:rFonts w:ascii="Aptos" w:hAnsi="Aptos"/>
        </w:rPr>
        <w:t>, examining the resulting impacts on educational equity, learner experiences, and staff well-being.</w:t>
      </w:r>
    </w:p>
    <w:p w14:paraId="38078DBD" w14:textId="77777777" w:rsidR="000F471C" w:rsidRPr="009F43F6" w:rsidRDefault="000F471C" w:rsidP="000F471C">
      <w:pPr>
        <w:rPr>
          <w:rFonts w:ascii="Aptos" w:hAnsi="Aptos"/>
        </w:rPr>
      </w:pPr>
      <w:r w:rsidRPr="009F43F6">
        <w:rPr>
          <w:rFonts w:ascii="Aptos" w:hAnsi="Aptos"/>
        </w:rPr>
        <w:t>While macro-level educational funding from the Welsh Government to local authorities receives routine parliamentary scrutiny, there is a critical evidence gap regarding the micro-economics of individual school operations. The specific mechanisms through which governing bodies and headteachers deploy delegated funding – balancing staffing structures, targeted interventions, and estate management – remain largely an empirical "black box." Furthermore, as core budgets face sustained inflationary pressures, schools are increasingly turning to localised revenue generation, spanning facility lettings and commercial partnerships to grant funding and voluntary parental contributions. The lack of robust, central data or research on these practices across Wales creates a major blind spot in national policy.</w:t>
      </w:r>
    </w:p>
    <w:p w14:paraId="14D56D25" w14:textId="77777777" w:rsidR="000F471C" w:rsidRPr="009F43F6" w:rsidRDefault="000F471C" w:rsidP="000F471C">
      <w:pPr>
        <w:rPr>
          <w:rFonts w:ascii="Aptos" w:hAnsi="Aptos"/>
        </w:rPr>
      </w:pPr>
      <w:r w:rsidRPr="009F43F6">
        <w:rPr>
          <w:rFonts w:ascii="Aptos" w:hAnsi="Aptos"/>
        </w:rPr>
        <w:t>This economic opacity directly generates unequal outcomes for children and young people across Wales. Schools in more affluent catchments or those with modernised infrastructure possess a significantly higher capacity to generate supplementary commercial income or offset core budget deficits. Conversely, schools in socio-economically disadvantaged communities face tighter structural constraints, limited commercial opportunities, and a heavier reliance on grant-funding mechanisms such as the Pupil Development Grant (PDG). These micro-economic dynamics directly dictate fundamental aspects of the learning experience: class sizes, subject availability, extracurricular enrichment, consultancy and access to specialist support staff. Without scrutiny of internal spending priorities and commercial capacity, existing educational inequalities will continue to widen unnoticed.</w:t>
      </w:r>
    </w:p>
    <w:p w14:paraId="5AC8E3FB" w14:textId="77777777" w:rsidR="000F471C" w:rsidRPr="009F43F6" w:rsidRDefault="000F471C" w:rsidP="000F471C">
      <w:pPr>
        <w:rPr>
          <w:rFonts w:ascii="Aptos" w:hAnsi="Aptos"/>
        </w:rPr>
      </w:pPr>
      <w:r w:rsidRPr="009F43F6">
        <w:rPr>
          <w:rFonts w:ascii="Aptos" w:hAnsi="Aptos"/>
        </w:rPr>
        <w:t xml:space="preserve">The internal economic management of schools has a profound, under-researched impact on the educational workforce. Financial pressures directly shape staffing models, causing varied reliance across local authorities on fixed-term contracts, teaching cover and restructured leadership teams. Moreover, budget constraints frequently shift administrative burdens – such as bid-writing, grant reporting, and commercial venue management – onto teaching and pastoral staff. Investigating how internal resource allocation strategies affect staff retention, </w:t>
      </w:r>
      <w:r w:rsidRPr="009F43F6">
        <w:rPr>
          <w:rFonts w:ascii="Aptos" w:hAnsi="Aptos"/>
        </w:rPr>
        <w:lastRenderedPageBreak/>
        <w:t>professional development, and day-to-day well-being is vital for maintaining a resilient workforce capable of delivering the Curriculum for Wales.</w:t>
      </w:r>
    </w:p>
    <w:p w14:paraId="67DEEF38" w14:textId="77777777" w:rsidR="000F471C" w:rsidRPr="009F43F6" w:rsidRDefault="000F471C" w:rsidP="000F471C">
      <w:pPr>
        <w:rPr>
          <w:rFonts w:ascii="Aptos" w:hAnsi="Aptos"/>
        </w:rPr>
      </w:pPr>
      <w:r w:rsidRPr="009F43F6">
        <w:rPr>
          <w:rFonts w:ascii="Aptos" w:hAnsi="Aptos"/>
        </w:rPr>
        <w:t>Should the Committee adopt this priority, it is recommended that the inquiry consider:</w:t>
      </w:r>
    </w:p>
    <w:p w14:paraId="6E8C2BC8" w14:textId="77777777" w:rsidR="000F471C" w:rsidRPr="009F43F6" w:rsidRDefault="000F471C" w:rsidP="000F471C">
      <w:pPr>
        <w:numPr>
          <w:ilvl w:val="0"/>
          <w:numId w:val="43"/>
        </w:numPr>
        <w:spacing w:before="0" w:after="0"/>
        <w:rPr>
          <w:rFonts w:ascii="Aptos" w:hAnsi="Aptos"/>
        </w:rPr>
      </w:pPr>
      <w:proofErr w:type="gramStart"/>
      <w:r w:rsidRPr="009F43F6">
        <w:rPr>
          <w:rFonts w:ascii="Aptos" w:hAnsi="Aptos"/>
        </w:rPr>
        <w:t>How</w:t>
      </w:r>
      <w:proofErr w:type="gramEnd"/>
      <w:r w:rsidRPr="009F43F6">
        <w:rPr>
          <w:rFonts w:ascii="Aptos" w:hAnsi="Aptos"/>
        </w:rPr>
        <w:t xml:space="preserve"> local authorities and governing bodies monitor, evaluate, and report internal school-level spending patterns.</w:t>
      </w:r>
    </w:p>
    <w:p w14:paraId="12787BD7" w14:textId="77777777" w:rsidR="000F471C" w:rsidRPr="009F43F6" w:rsidRDefault="000F471C" w:rsidP="000F471C">
      <w:pPr>
        <w:numPr>
          <w:ilvl w:val="0"/>
          <w:numId w:val="43"/>
        </w:numPr>
        <w:spacing w:before="0" w:after="0"/>
        <w:rPr>
          <w:rFonts w:ascii="Aptos" w:hAnsi="Aptos"/>
        </w:rPr>
      </w:pPr>
      <w:r w:rsidRPr="009F43F6">
        <w:rPr>
          <w:rFonts w:ascii="Aptos" w:hAnsi="Aptos"/>
        </w:rPr>
        <w:t>The prevalence and distribution of secondary revenue generation in Welsh schools, and whether it exacerbates socio-economic disadvantage.</w:t>
      </w:r>
    </w:p>
    <w:p w14:paraId="3333950A" w14:textId="77777777" w:rsidR="000F471C" w:rsidRPr="009F43F6" w:rsidRDefault="000F471C" w:rsidP="000F471C">
      <w:pPr>
        <w:numPr>
          <w:ilvl w:val="0"/>
          <w:numId w:val="43"/>
        </w:numPr>
        <w:spacing w:before="0" w:after="0"/>
        <w:rPr>
          <w:rFonts w:ascii="Aptos" w:hAnsi="Aptos"/>
        </w:rPr>
      </w:pPr>
      <w:r w:rsidRPr="009F43F6">
        <w:rPr>
          <w:rFonts w:ascii="Aptos" w:hAnsi="Aptos"/>
        </w:rPr>
        <w:t>The extent to which varied internal budget allocations affect learner outcomes, curriculum breadth, and staff workload/retention.</w:t>
      </w:r>
    </w:p>
    <w:p w14:paraId="5CE9615F" w14:textId="77777777" w:rsidR="000F471C" w:rsidRPr="009F43F6" w:rsidRDefault="000F471C" w:rsidP="000F471C">
      <w:pPr>
        <w:numPr>
          <w:ilvl w:val="0"/>
          <w:numId w:val="43"/>
        </w:numPr>
        <w:spacing w:before="0" w:after="0"/>
        <w:rPr>
          <w:rFonts w:ascii="Aptos" w:hAnsi="Aptos"/>
        </w:rPr>
      </w:pPr>
      <w:r w:rsidRPr="009F43F6">
        <w:rPr>
          <w:rFonts w:ascii="Aptos" w:hAnsi="Aptos"/>
        </w:rPr>
        <w:t>Frameworks to ensure school-level spending and revenue generation align directly with national equity and anti-poverty strategies.</w:t>
      </w:r>
    </w:p>
    <w:p w14:paraId="79C76D52" w14:textId="77777777" w:rsidR="000F471C" w:rsidRPr="009F43F6" w:rsidRDefault="000F471C" w:rsidP="00D10993">
      <w:pPr>
        <w:rPr>
          <w:rFonts w:ascii="Aptos" w:hAnsi="Aptos"/>
        </w:rPr>
      </w:pPr>
    </w:p>
    <w:p w14:paraId="3D79C081" w14:textId="77777777" w:rsidR="008F2A53" w:rsidRPr="009F43F6" w:rsidRDefault="008F2A53" w:rsidP="000E6542">
      <w:pPr>
        <w:pStyle w:val="Heading1"/>
      </w:pPr>
      <w:r w:rsidRPr="009F43F6">
        <w:t>Unlocking the Public Value of Administrative Data for Children and Young People</w:t>
      </w:r>
    </w:p>
    <w:p w14:paraId="02DAF7D9" w14:textId="77777777" w:rsidR="008F2A53" w:rsidRPr="009F43F6" w:rsidRDefault="008F2A53" w:rsidP="008F2A53">
      <w:pPr>
        <w:rPr>
          <w:rFonts w:ascii="Aptos" w:hAnsi="Aptos"/>
        </w:rPr>
      </w:pPr>
      <w:r w:rsidRPr="009F43F6">
        <w:rPr>
          <w:rFonts w:ascii="Aptos" w:hAnsi="Aptos"/>
        </w:rPr>
        <w:t>The Committee is urged to undertake an inquiry into whether current governance arrangements for administrative data in Wales are maximising their value for children, young people and public services, and whether opportunities exist to enable a greater translation of research evidence into practice while maintaining public trust and privacy protections.</w:t>
      </w:r>
    </w:p>
    <w:p w14:paraId="2562F149" w14:textId="1B37DBD3" w:rsidR="008F2A53" w:rsidRPr="009F43F6" w:rsidRDefault="008F2A53" w:rsidP="008F2A53">
      <w:pPr>
        <w:rPr>
          <w:rFonts w:ascii="Aptos" w:hAnsi="Aptos"/>
        </w:rPr>
      </w:pPr>
      <w:r w:rsidRPr="009F43F6">
        <w:rPr>
          <w:rFonts w:ascii="Aptos" w:hAnsi="Aptos"/>
        </w:rPr>
        <w:t xml:space="preserve">Wales has developed a strong international reputation for the secure use of linked administrative data to support research and policy development. Through initiatives such as the </w:t>
      </w:r>
      <w:hyperlink r:id="rId27" w:history="1">
        <w:r w:rsidRPr="009F43F6">
          <w:rPr>
            <w:rStyle w:val="Hyperlink"/>
            <w:rFonts w:ascii="Aptos" w:hAnsi="Aptos"/>
          </w:rPr>
          <w:t>Secure Anonymised Information Linkage (SAIL) Databank</w:t>
        </w:r>
      </w:hyperlink>
      <w:r w:rsidRPr="009F43F6">
        <w:rPr>
          <w:rFonts w:ascii="Aptos" w:hAnsi="Aptos"/>
        </w:rPr>
        <w:t xml:space="preserve"> and </w:t>
      </w:r>
      <w:hyperlink r:id="rId28" w:history="1">
        <w:r w:rsidRPr="009F43F6">
          <w:rPr>
            <w:rStyle w:val="Hyperlink"/>
            <w:rFonts w:ascii="Aptos" w:hAnsi="Aptos"/>
          </w:rPr>
          <w:t>ADR Wales</w:t>
        </w:r>
      </w:hyperlink>
      <w:r w:rsidRPr="009F43F6">
        <w:rPr>
          <w:rFonts w:ascii="Aptos" w:hAnsi="Aptos"/>
        </w:rPr>
        <w:t>,</w:t>
      </w:r>
      <w:r w:rsidRPr="009F43F6">
        <w:rPr>
          <w:rFonts w:ascii="Aptos" w:hAnsi="Aptos"/>
        </w:rPr>
        <w:t xml:space="preserve"> researchers have generated important evidence on educational attainment, attendance, exclusions, additional learning needs, children's social care, health and wider life outcomes. This work has significantly improved understanding of the factors shaping children's experiences and outcomes across Wales.</w:t>
      </w:r>
    </w:p>
    <w:p w14:paraId="5FCF52DD" w14:textId="77777777" w:rsidR="008F2A53" w:rsidRPr="009F43F6" w:rsidRDefault="008F2A53" w:rsidP="008F2A53">
      <w:pPr>
        <w:rPr>
          <w:rFonts w:ascii="Aptos" w:hAnsi="Aptos"/>
        </w:rPr>
      </w:pPr>
      <w:r w:rsidRPr="009F43F6">
        <w:rPr>
          <w:rFonts w:ascii="Aptos" w:hAnsi="Aptos"/>
        </w:rPr>
        <w:t xml:space="preserve">However, despite these advances, the practical benefits of administrative data research are not always realised by those working directly with children and young people. Current arrangements are primarily designed to support population-level research </w:t>
      </w:r>
      <w:proofErr w:type="gramStart"/>
      <w:r w:rsidRPr="009F43F6">
        <w:rPr>
          <w:rFonts w:ascii="Aptos" w:hAnsi="Aptos"/>
        </w:rPr>
        <w:t>through the use of</w:t>
      </w:r>
      <w:proofErr w:type="gramEnd"/>
      <w:r w:rsidRPr="009F43F6">
        <w:rPr>
          <w:rFonts w:ascii="Aptos" w:hAnsi="Aptos"/>
        </w:rPr>
        <w:t xml:space="preserve"> anonymised data. While this approach provides strong privacy safeguards, it can limit opportunities to use research findings to inform earlier intervention, targeted support and operational decision-making by practitioners working in schools, local authorities and children's services.</w:t>
      </w:r>
    </w:p>
    <w:p w14:paraId="2FAAD4DC" w14:textId="77777777" w:rsidR="008F2A53" w:rsidRPr="009F43F6" w:rsidRDefault="008F2A53" w:rsidP="008F2A53">
      <w:pPr>
        <w:rPr>
          <w:rFonts w:ascii="Aptos" w:hAnsi="Aptos"/>
        </w:rPr>
      </w:pPr>
      <w:r w:rsidRPr="009F43F6">
        <w:rPr>
          <w:rFonts w:ascii="Aptos" w:hAnsi="Aptos"/>
        </w:rPr>
        <w:t xml:space="preserve">As public services face increasing financial pressures and rising levels of complexity in children's needs, there is growing interest internationally in how administrative data can support both research and service delivery. Questions therefore arise regarding whether current arrangements strike the optimal balance between privacy, public trust, innovation </w:t>
      </w:r>
      <w:r w:rsidRPr="009F43F6">
        <w:rPr>
          <w:rFonts w:ascii="Aptos" w:hAnsi="Aptos"/>
        </w:rPr>
        <w:lastRenderedPageBreak/>
        <w:t xml:space="preserve">and public benefit. </w:t>
      </w:r>
      <w:proofErr w:type="gramStart"/>
      <w:r w:rsidRPr="009F43F6">
        <w:rPr>
          <w:rFonts w:ascii="Aptos" w:hAnsi="Aptos"/>
        </w:rPr>
        <w:t>In particular, there</w:t>
      </w:r>
      <w:proofErr w:type="gramEnd"/>
      <w:r w:rsidRPr="009F43F6">
        <w:rPr>
          <w:rFonts w:ascii="Aptos" w:hAnsi="Aptos"/>
        </w:rPr>
        <w:t xml:space="preserve"> is a need to consider whether opportunities exist for more effective use of data-derived insights within frontline services while preserving the principles of security, confidentiality and public confidence that underpin Wales's existing model.</w:t>
      </w:r>
    </w:p>
    <w:p w14:paraId="47B4B6F7" w14:textId="77777777" w:rsidR="008F2A53" w:rsidRPr="009F43F6" w:rsidRDefault="008F2A53" w:rsidP="008F2A53">
      <w:pPr>
        <w:rPr>
          <w:rFonts w:ascii="Aptos" w:hAnsi="Aptos"/>
        </w:rPr>
      </w:pPr>
      <w:r w:rsidRPr="009F43F6">
        <w:rPr>
          <w:rFonts w:ascii="Aptos" w:hAnsi="Aptos"/>
        </w:rPr>
        <w:t>The issue is especially important in education, where substantial investments have been made in data collection, linkage and research, yet schools and practitioners often have limited opportunities to benefit directly from the resulting insights. Similar questions arise across children's social care, health and youth services, where the potential exists to better connect evidence generation with service improvement.</w:t>
      </w:r>
    </w:p>
    <w:p w14:paraId="7ADC00A9" w14:textId="77777777" w:rsidR="008F2A53" w:rsidRPr="009F43F6" w:rsidRDefault="008F2A53" w:rsidP="008F2A53">
      <w:pPr>
        <w:rPr>
          <w:rFonts w:ascii="Aptos" w:hAnsi="Aptos"/>
        </w:rPr>
      </w:pPr>
      <w:r w:rsidRPr="009F43F6">
        <w:rPr>
          <w:rFonts w:ascii="Aptos" w:hAnsi="Aptos"/>
        </w:rPr>
        <w:t>Should the Committee adopt this priority, it is recommended that the inquiry consider:</w:t>
      </w:r>
    </w:p>
    <w:p w14:paraId="651258EA" w14:textId="450F25E1" w:rsidR="008F2A53" w:rsidRPr="009F43F6" w:rsidRDefault="008F2A53" w:rsidP="00E73A38">
      <w:pPr>
        <w:numPr>
          <w:ilvl w:val="0"/>
          <w:numId w:val="48"/>
        </w:numPr>
        <w:spacing w:before="0" w:after="0"/>
        <w:rPr>
          <w:rFonts w:ascii="Aptos" w:hAnsi="Aptos"/>
        </w:rPr>
      </w:pPr>
      <w:r w:rsidRPr="009F43F6">
        <w:rPr>
          <w:rFonts w:ascii="Aptos" w:hAnsi="Aptos"/>
        </w:rPr>
        <w:t>Whether current administrative data arrangements are delivering maximum benefit for children, young people and frontline services.</w:t>
      </w:r>
    </w:p>
    <w:p w14:paraId="0BE9FD13" w14:textId="712CF7EF" w:rsidR="008F2A53" w:rsidRPr="009F43F6" w:rsidRDefault="008F2A53" w:rsidP="00E73A38">
      <w:pPr>
        <w:numPr>
          <w:ilvl w:val="0"/>
          <w:numId w:val="48"/>
        </w:numPr>
        <w:spacing w:before="0" w:after="0"/>
        <w:rPr>
          <w:rFonts w:ascii="Aptos" w:hAnsi="Aptos"/>
        </w:rPr>
      </w:pPr>
      <w:r w:rsidRPr="009F43F6">
        <w:rPr>
          <w:rFonts w:ascii="Aptos" w:hAnsi="Aptos"/>
        </w:rPr>
        <w:t>How evidence generated through administrative data research can be more effectively communicated and applied within schools, local authorities and children's services.</w:t>
      </w:r>
    </w:p>
    <w:p w14:paraId="2A9E833E" w14:textId="65308BCD" w:rsidR="008F2A53" w:rsidRPr="009F43F6" w:rsidRDefault="008F2A53" w:rsidP="00E73A38">
      <w:pPr>
        <w:numPr>
          <w:ilvl w:val="0"/>
          <w:numId w:val="48"/>
        </w:numPr>
        <w:spacing w:before="0" w:after="0"/>
        <w:rPr>
          <w:rFonts w:ascii="Aptos" w:hAnsi="Aptos"/>
        </w:rPr>
      </w:pPr>
      <w:r w:rsidRPr="009F43F6">
        <w:rPr>
          <w:rFonts w:ascii="Aptos" w:hAnsi="Aptos"/>
        </w:rPr>
        <w:t>Whether existing governance frameworks appropriately balance privacy, public confidence and the potential benefits of expanded data use.</w:t>
      </w:r>
    </w:p>
    <w:p w14:paraId="1E1DA3FD" w14:textId="12701A9B" w:rsidR="008F2A53" w:rsidRPr="009F43F6" w:rsidRDefault="008F2A53" w:rsidP="00E73A38">
      <w:pPr>
        <w:numPr>
          <w:ilvl w:val="0"/>
          <w:numId w:val="48"/>
        </w:numPr>
        <w:spacing w:before="0" w:after="0"/>
        <w:rPr>
          <w:rFonts w:ascii="Aptos" w:hAnsi="Aptos"/>
        </w:rPr>
      </w:pPr>
      <w:r w:rsidRPr="009F43F6">
        <w:rPr>
          <w:rFonts w:ascii="Aptos" w:hAnsi="Aptos"/>
        </w:rPr>
        <w:t>What lessons can be learned from other jurisdictions that enable more direct use of linked administrative data to support service improvement and early intervention.</w:t>
      </w:r>
    </w:p>
    <w:p w14:paraId="7228D8CE" w14:textId="71B96BB2" w:rsidR="008F2A53" w:rsidRPr="009F43F6" w:rsidRDefault="008F2A53" w:rsidP="00E73A38">
      <w:pPr>
        <w:numPr>
          <w:ilvl w:val="0"/>
          <w:numId w:val="48"/>
        </w:numPr>
        <w:spacing w:before="0" w:after="0"/>
        <w:rPr>
          <w:rFonts w:ascii="Aptos" w:hAnsi="Aptos"/>
        </w:rPr>
      </w:pPr>
      <w:r w:rsidRPr="009F43F6">
        <w:rPr>
          <w:rFonts w:ascii="Aptos" w:hAnsi="Aptos"/>
        </w:rPr>
        <w:t>Whether there are opportunities to develop secure mechanisms that allow administrative data insights to inform operational practice while maintaining robust safeguards against misuse.</w:t>
      </w:r>
    </w:p>
    <w:p w14:paraId="27AF3020" w14:textId="77777777" w:rsidR="008F2A53" w:rsidRPr="009F43F6" w:rsidRDefault="008F2A53" w:rsidP="00D10993">
      <w:pPr>
        <w:rPr>
          <w:rFonts w:ascii="Aptos" w:hAnsi="Aptos"/>
        </w:rPr>
      </w:pPr>
    </w:p>
    <w:sectPr w:rsidR="008F2A53" w:rsidRPr="009F43F6" w:rsidSect="00E91B6B">
      <w:headerReference w:type="even" r:id="rId29"/>
      <w:headerReference w:type="default" r:id="rId30"/>
      <w:footerReference w:type="even" r:id="rId31"/>
      <w:footerReference w:type="default" r:id="rId32"/>
      <w:pgSz w:w="11906" w:h="16838" w:code="9"/>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66A54A" w14:textId="77777777" w:rsidR="00336E56" w:rsidRDefault="00336E56" w:rsidP="00511AB1">
      <w:r>
        <w:separator/>
      </w:r>
    </w:p>
    <w:p w14:paraId="20E00ADD" w14:textId="77777777" w:rsidR="00336E56" w:rsidRDefault="00336E56"/>
    <w:p w14:paraId="4E0D77CE" w14:textId="77777777" w:rsidR="00336E56" w:rsidRDefault="00336E56" w:rsidP="00EE123E"/>
  </w:endnote>
  <w:endnote w:type="continuationSeparator" w:id="0">
    <w:p w14:paraId="7D32BE12" w14:textId="77777777" w:rsidR="00336E56" w:rsidRDefault="00336E56" w:rsidP="00511AB1">
      <w:r>
        <w:continuationSeparator/>
      </w:r>
    </w:p>
    <w:p w14:paraId="1EB2C16F" w14:textId="77777777" w:rsidR="00336E56" w:rsidRDefault="00336E56"/>
    <w:p w14:paraId="4AB393C5" w14:textId="77777777" w:rsidR="00336E56" w:rsidRDefault="00336E56" w:rsidP="00EE12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ynulliad Sans">
    <w:altName w:val="Calibri"/>
    <w:panose1 w:val="020B0604020202020204"/>
    <w:charset w:val="00"/>
    <w:family w:val="swiss"/>
    <w:pitch w:val="variable"/>
    <w:sig w:usb0="A00000AF" w:usb1="4000205B" w:usb2="00000000" w:usb3="00000000" w:csb0="0000009B" w:csb1="00000000"/>
  </w:font>
  <w:font w:name="Segoe UI Light">
    <w:panose1 w:val="020B0502040204020203"/>
    <w:charset w:val="00"/>
    <w:family w:val="swiss"/>
    <w:pitch w:val="variable"/>
    <w:sig w:usb0="E4002EFF" w:usb1="C000E47F"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ynulliad Serif">
    <w:panose1 w:val="020B0604020202020204"/>
    <w:charset w:val="00"/>
    <w:family w:val="auto"/>
    <w:pitch w:val="variable"/>
    <w:sig w:usb0="A00000AF" w:usb1="5000205B" w:usb2="00000000" w:usb3="00000000" w:csb0="0000009B"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ontserrat Light">
    <w:panose1 w:val="00000400000000000000"/>
    <w:charset w:val="00"/>
    <w:family w:val="auto"/>
    <w:pitch w:val="variable"/>
    <w:sig w:usb0="2000020F" w:usb1="00000003" w:usb2="00000000" w:usb3="00000000" w:csb0="00000197"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7A6978" w14:textId="77777777" w:rsidR="006204AE" w:rsidRDefault="00336E56" w:rsidP="00683F4E">
    <w:pPr>
      <w:pStyle w:val="Footer"/>
      <w:pBdr>
        <w:top w:val="single" w:sz="4" w:space="8" w:color="auto"/>
      </w:pBdr>
    </w:pPr>
    <w:sdt>
      <w:sdtPr>
        <w:id w:val="579107162"/>
        <w:docPartObj>
          <w:docPartGallery w:val="Page Numbers (Bottom of Page)"/>
          <w:docPartUnique/>
        </w:docPartObj>
      </w:sdtPr>
      <w:sdtEndPr/>
      <w:sdtContent>
        <w:r w:rsidR="00193DCB">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D31110" w14:textId="77777777" w:rsidR="00807630" w:rsidRPr="00345347" w:rsidRDefault="00336E56" w:rsidP="00683F4E">
    <w:pPr>
      <w:pStyle w:val="Footer"/>
      <w:pBdr>
        <w:top w:val="single" w:sz="4" w:space="8" w:color="auto"/>
      </w:pBdr>
    </w:pPr>
    <w:sdt>
      <w:sdtPr>
        <w:id w:val="238690859"/>
        <w:docPartObj>
          <w:docPartGallery w:val="Page Numbers (Bottom of Page)"/>
          <w:docPartUnique/>
        </w:docPartObj>
      </w:sdtPr>
      <w:sdtEndPr/>
      <w:sdtContent>
        <w:r w:rsidR="00193DCB">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CBC1FD" w14:textId="77777777" w:rsidR="00336E56" w:rsidRPr="0060167F" w:rsidRDefault="00336E56" w:rsidP="00445304">
      <w:pPr>
        <w:spacing w:after="0"/>
        <w:rPr>
          <w:sz w:val="20"/>
          <w:szCs w:val="20"/>
        </w:rPr>
      </w:pPr>
      <w:r w:rsidRPr="0060167F">
        <w:rPr>
          <w:sz w:val="20"/>
        </w:rPr>
        <w:separator/>
      </w:r>
    </w:p>
  </w:footnote>
  <w:footnote w:type="continuationSeparator" w:id="0">
    <w:p w14:paraId="1A32FA6A" w14:textId="77777777" w:rsidR="00336E56" w:rsidRPr="0060167F" w:rsidRDefault="00336E56" w:rsidP="0060167F">
      <w:pPr>
        <w:spacing w:before="0" w:after="0" w:line="240" w:lineRule="auto"/>
        <w:rPr>
          <w:sz w:val="20"/>
          <w:szCs w:val="20"/>
        </w:rPr>
      </w:pPr>
      <w:r w:rsidRPr="0060167F">
        <w:rPr>
          <w:sz w:val="20"/>
        </w:rPr>
        <w:continuationSeparator/>
      </w:r>
    </w:p>
  </w:footnote>
  <w:footnote w:type="continuationNotice" w:id="1">
    <w:p w14:paraId="70EE5651" w14:textId="77777777" w:rsidR="00336E56" w:rsidRPr="0060167F" w:rsidRDefault="00336E56" w:rsidP="0060167F">
      <w:pPr>
        <w:pStyle w:val="FootnoteText"/>
        <w:spacing w:before="0" w:line="240" w:lineRule="auto"/>
        <w:rPr>
          <w:sz w:val="2"/>
          <w:szCs w:val="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D95E5B" w14:textId="73D7FF8F" w:rsidR="00E96DB3" w:rsidRPr="00FC5FB6" w:rsidRDefault="00EB2B09" w:rsidP="00683F4E">
    <w:pPr>
      <w:pStyle w:val="Header"/>
      <w:pBdr>
        <w:bottom w:val="single" w:sz="4" w:space="8" w:color="auto"/>
      </w:pBdr>
    </w:pPr>
    <w:r>
      <w:rPr>
        <w:rFonts w:cs="Lucida Sans Unicode"/>
      </w:rPr>
      <w:t>Early Years, Children, Young People and Education Committee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F16B2" w14:textId="2ABF880B" w:rsidR="00E96DB3" w:rsidRPr="00FC5FB6" w:rsidRDefault="005E0348" w:rsidP="00683F4E">
    <w:pPr>
      <w:pStyle w:val="Header"/>
      <w:pBdr>
        <w:bottom w:val="single" w:sz="4" w:space="8" w:color="auto"/>
      </w:pBdr>
      <w:jc w:val="right"/>
    </w:pPr>
    <w:r w:rsidRPr="005E0348">
      <w:t xml:space="preserve">Priorities for the </w:t>
    </w:r>
    <w:r w:rsidR="00EB2B09">
      <w:rPr>
        <w:rFonts w:cs="Lucida Sans Unicode"/>
      </w:rPr>
      <w:t>Early Years, Children, Young People and Education Committee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3.1pt;height:333.1pt;visibility:visible" o:bullet="t">
        <v:imagedata r:id="rId1" o:title=""/>
      </v:shape>
    </w:pict>
  </w:numPicBullet>
  <w:abstractNum w:abstractNumId="0" w15:restartNumberingAfterBreak="0">
    <w:nsid w:val="02FD53BF"/>
    <w:multiLevelType w:val="multilevel"/>
    <w:tmpl w:val="08EA7B56"/>
    <w:lvl w:ilvl="0">
      <w:start w:val="1"/>
      <w:numFmt w:val="decimal"/>
      <w:suff w:val="space"/>
      <w:lvlText w:val="Conclusion %1."/>
      <w:lvlJc w:val="left"/>
      <w:pPr>
        <w:ind w:left="0" w:firstLine="0"/>
      </w:pPr>
      <w:rPr>
        <w:rFonts w:asciiTheme="majorHAnsi" w:hAnsiTheme="majorHAnsi" w:hint="default"/>
        <w:b/>
        <w:bCs/>
        <w:i w:val="0"/>
        <w:iCs w:val="0"/>
        <w:caps w:val="0"/>
        <w:strike w:val="0"/>
        <w:dstrike w:val="0"/>
        <w:outline w:val="0"/>
        <w:shadow w:val="0"/>
        <w:emboss w:val="0"/>
        <w:imprint w:val="0"/>
        <w:vanish w:val="0"/>
        <w:color w:val="414042"/>
        <w:spacing w:val="0"/>
        <w:kern w:val="0"/>
        <w:position w:val="0"/>
        <w:u w:val="none"/>
        <w:effect w:val="none"/>
        <w:vertAlign w:val="baseline"/>
        <w:em w:val="none"/>
        <w14:ligatures w14:val="none"/>
        <w14:numForm w14:val="default"/>
        <w14:numSpacing w14:val="default"/>
        <w14:stylisticSets/>
        <w14:cntxtAlts w14:val="0"/>
      </w:rPr>
    </w:lvl>
    <w:lvl w:ilvl="1">
      <w:start w:val="1"/>
      <w:numFmt w:val="bullet"/>
      <w:lvlText w:val=""/>
      <w:lvlJc w:val="left"/>
      <w:pPr>
        <w:tabs>
          <w:tab w:val="num" w:pos="1134"/>
        </w:tabs>
        <w:ind w:left="1134" w:hanging="567"/>
      </w:pPr>
      <w:rPr>
        <w:rFonts w:ascii="Wingdings" w:hAnsi="Wingdings" w:hint="default"/>
        <w:color w:val="2D2D2C" w:themeColor="text1"/>
      </w:rPr>
    </w:lvl>
    <w:lvl w:ilvl="2">
      <w:start w:val="1"/>
      <w:numFmt w:val="decimal"/>
      <w:lvlText w:val="%3."/>
      <w:lvlJc w:val="left"/>
      <w:pPr>
        <w:tabs>
          <w:tab w:val="num" w:pos="1134"/>
        </w:tabs>
        <w:ind w:left="1134" w:hanging="567"/>
      </w:pPr>
      <w:rPr>
        <w:rFonts w:hint="default"/>
        <w:color w:val="414042"/>
      </w:rPr>
    </w:lvl>
    <w:lvl w:ilvl="3">
      <w:start w:val="1"/>
      <w:numFmt w:val="lowerLetter"/>
      <w:lvlText w:val="%4."/>
      <w:lvlJc w:val="left"/>
      <w:pPr>
        <w:tabs>
          <w:tab w:val="num" w:pos="1134"/>
        </w:tabs>
        <w:ind w:left="1134" w:hanging="567"/>
      </w:pPr>
      <w:rPr>
        <w:rFonts w:hint="default"/>
        <w:color w:val="414042"/>
      </w:rPr>
    </w:lvl>
    <w:lvl w:ilvl="4">
      <w:start w:val="1"/>
      <w:numFmt w:val="lowerRoman"/>
      <w:lvlText w:val="%5."/>
      <w:lvlJc w:val="left"/>
      <w:pPr>
        <w:tabs>
          <w:tab w:val="num" w:pos="1134"/>
        </w:tabs>
        <w:ind w:left="1134" w:hanging="567"/>
      </w:pPr>
      <w:rPr>
        <w:rFonts w:hint="default"/>
        <w:color w:val="414042"/>
      </w:rPr>
    </w:lvl>
    <w:lvl w:ilvl="5">
      <w:start w:val="1"/>
      <w:numFmt w:val="decimal"/>
      <w:suff w:val="space"/>
      <w:lvlText w:val="%6."/>
      <w:lvlJc w:val="left"/>
      <w:pPr>
        <w:ind w:left="0" w:firstLine="0"/>
      </w:pPr>
      <w:rPr>
        <w:rFonts w:asciiTheme="majorHAnsi" w:hAnsiTheme="majorHAnsi" w:hint="default"/>
        <w:b/>
        <w:i w:val="0"/>
      </w:rPr>
    </w:lvl>
    <w:lvl w:ilvl="6">
      <w:start w:val="1"/>
      <w:numFmt w:val="decimal"/>
      <w:lvlText w:val="%7"/>
      <w:lvlJc w:val="left"/>
      <w:pPr>
        <w:ind w:left="5040" w:hanging="360"/>
      </w:pPr>
      <w:rPr>
        <w:rFonts w:hint="default"/>
      </w:rPr>
    </w:lvl>
    <w:lvl w:ilvl="7">
      <w:start w:val="1"/>
      <w:numFmt w:val="bullet"/>
      <w:lvlText w:val="–"/>
      <w:lvlJc w:val="left"/>
      <w:pPr>
        <w:ind w:left="5760" w:hanging="360"/>
      </w:pPr>
      <w:rPr>
        <w:rFonts w:ascii="Cynulliad Sans" w:hAnsi="Cynulliad Sans" w:hint="default"/>
        <w:color w:val="42A328"/>
      </w:rPr>
    </w:lvl>
    <w:lvl w:ilvl="8">
      <w:start w:val="1"/>
      <w:numFmt w:val="bullet"/>
      <w:lvlText w:val="–"/>
      <w:lvlJc w:val="left"/>
      <w:pPr>
        <w:ind w:left="6480" w:hanging="180"/>
      </w:pPr>
      <w:rPr>
        <w:rFonts w:ascii="Cynulliad Sans" w:hAnsi="Cynulliad Sans" w:hint="default"/>
        <w:color w:val="42A328"/>
      </w:rPr>
    </w:lvl>
  </w:abstractNum>
  <w:abstractNum w:abstractNumId="1" w15:restartNumberingAfterBreak="0">
    <w:nsid w:val="05291F3E"/>
    <w:multiLevelType w:val="hybridMultilevel"/>
    <w:tmpl w:val="DCB0FA96"/>
    <w:lvl w:ilvl="0" w:tplc="0A8E253A">
      <w:start w:val="1"/>
      <w:numFmt w:val="lowerRoman"/>
      <w:pStyle w:val="ListRoman"/>
      <w:lvlText w:val="%1."/>
      <w:lvlJc w:val="right"/>
      <w:pPr>
        <w:tabs>
          <w:tab w:val="num" w:pos="1134"/>
        </w:tabs>
        <w:ind w:left="1134" w:hanging="397"/>
      </w:pPr>
      <w:rPr>
        <w:rFonts w:asciiTheme="minorHAnsi" w:hAnsiTheme="minorHAnsi" w:cs="Segoe UI" w:hint="default"/>
      </w:rPr>
    </w:lvl>
    <w:lvl w:ilvl="1" w:tplc="961AE300">
      <w:start w:val="1"/>
      <w:numFmt w:val="lowerRoman"/>
      <w:lvlText w:val="%2."/>
      <w:lvlJc w:val="right"/>
      <w:pPr>
        <w:ind w:left="2268" w:hanging="567"/>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05B93559"/>
    <w:multiLevelType w:val="hybridMultilevel"/>
    <w:tmpl w:val="5A4C7E04"/>
    <w:lvl w:ilvl="0" w:tplc="01F43632">
      <w:start w:val="1"/>
      <w:numFmt w:val="decimal"/>
      <w:pStyle w:val="Numbered-paragraph-text"/>
      <w:lvlText w:val="%1."/>
      <w:lvlJc w:val="left"/>
      <w:pPr>
        <w:ind w:left="360" w:hanging="360"/>
      </w:pPr>
      <w:rPr>
        <w:rFonts w:asciiTheme="majorHAnsi" w:hAnsiTheme="majorHAnsi" w:cstheme="majorHAnsi" w:hint="default"/>
        <w:b/>
        <w:bCs/>
        <w:i w:val="0"/>
        <w:color w:val="2D2D2C" w:themeColor="text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9021FE"/>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15:restartNumberingAfterBreak="0">
    <w:nsid w:val="0A615E19"/>
    <w:multiLevelType w:val="multilevel"/>
    <w:tmpl w:val="C42EA854"/>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5" w15:restartNumberingAfterBreak="0">
    <w:nsid w:val="0C3D40BE"/>
    <w:multiLevelType w:val="multilevel"/>
    <w:tmpl w:val="DF14A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B119A5"/>
    <w:multiLevelType w:val="multilevel"/>
    <w:tmpl w:val="22126DC0"/>
    <w:styleLink w:val="Recommendation-list"/>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7" w15:restartNumberingAfterBreak="0">
    <w:nsid w:val="10AB21F9"/>
    <w:multiLevelType w:val="multilevel"/>
    <w:tmpl w:val="22126DC0"/>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8" w15:restartNumberingAfterBreak="0">
    <w:nsid w:val="1CDB4568"/>
    <w:multiLevelType w:val="multilevel"/>
    <w:tmpl w:val="5D087DB0"/>
    <w:styleLink w:val="Joint-list-style"/>
    <w:lvl w:ilvl="0">
      <w:start w:val="1"/>
      <w:numFmt w:val="decimal"/>
      <w:suff w:val="space"/>
      <w:lvlText w:val="Recommendation %1."/>
      <w:lvlJc w:val="left"/>
      <w:pPr>
        <w:ind w:left="1" w:firstLine="0"/>
      </w:pPr>
      <w:rPr>
        <w:rFonts w:asciiTheme="majorHAnsi" w:hAnsiTheme="majorHAnsi" w:hint="default"/>
        <w:b/>
        <w:bCs/>
        <w:i w:val="0"/>
        <w:iCs w:val="0"/>
        <w:caps w:val="0"/>
        <w:smallCaps w:val="0"/>
        <w:strike w:val="0"/>
        <w:dstrike w:val="0"/>
        <w:outline w:val="0"/>
        <w:shadow w:val="0"/>
        <w:emboss w:val="0"/>
        <w:imprint w:val="0"/>
        <w:noProof w:val="0"/>
        <w:vanish w:val="0"/>
        <w:color w:val="41404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tabs>
          <w:tab w:val="num" w:pos="1135"/>
        </w:tabs>
        <w:ind w:left="1135" w:hanging="567"/>
      </w:pPr>
      <w:rPr>
        <w:rFonts w:ascii="Wingdings" w:hAnsi="Wingdings" w:hint="default"/>
        <w:i w:val="0"/>
        <w:color w:val="2D2D2C" w:themeColor="text1"/>
      </w:rPr>
    </w:lvl>
    <w:lvl w:ilvl="2">
      <w:start w:val="1"/>
      <w:numFmt w:val="decimal"/>
      <w:lvlText w:val="%3."/>
      <w:lvlJc w:val="left"/>
      <w:pPr>
        <w:tabs>
          <w:tab w:val="num" w:pos="1135"/>
        </w:tabs>
        <w:ind w:left="1135" w:hanging="567"/>
      </w:pPr>
      <w:rPr>
        <w:rFonts w:hint="default"/>
        <w:color w:val="414042"/>
      </w:rPr>
    </w:lvl>
    <w:lvl w:ilvl="3">
      <w:start w:val="1"/>
      <w:numFmt w:val="lowerLetter"/>
      <w:lvlText w:val="%4."/>
      <w:lvlJc w:val="left"/>
      <w:pPr>
        <w:tabs>
          <w:tab w:val="num" w:pos="1135"/>
        </w:tabs>
        <w:ind w:left="1135" w:hanging="567"/>
      </w:pPr>
      <w:rPr>
        <w:rFonts w:hint="default"/>
        <w:color w:val="414042"/>
      </w:rPr>
    </w:lvl>
    <w:lvl w:ilvl="4">
      <w:start w:val="1"/>
      <w:numFmt w:val="lowerRoman"/>
      <w:lvlText w:val="%5."/>
      <w:lvlJc w:val="left"/>
      <w:pPr>
        <w:tabs>
          <w:tab w:val="num" w:pos="1135"/>
        </w:tabs>
        <w:ind w:left="1135" w:hanging="567"/>
      </w:pPr>
      <w:rPr>
        <w:rFonts w:hint="default"/>
        <w:color w:val="414042"/>
      </w:rPr>
    </w:lvl>
    <w:lvl w:ilvl="5">
      <w:start w:val="1"/>
      <w:numFmt w:val="decimal"/>
      <w:lvlRestart w:val="0"/>
      <w:suff w:val="space"/>
      <w:lvlText w:val="Conclusion %6."/>
      <w:lvlJc w:val="left"/>
      <w:pPr>
        <w:ind w:left="1" w:firstLine="0"/>
      </w:pPr>
      <w:rPr>
        <w:rFonts w:asciiTheme="majorHAnsi" w:hAnsiTheme="majorHAnsi" w:hint="default"/>
        <w:b/>
        <w:i w:val="0"/>
        <w:color w:val="414042"/>
      </w:rPr>
    </w:lvl>
    <w:lvl w:ilvl="6">
      <w:start w:val="1"/>
      <w:numFmt w:val="bullet"/>
      <w:lvlText w:val="–"/>
      <w:lvlJc w:val="left"/>
      <w:pPr>
        <w:ind w:left="5030" w:hanging="360"/>
      </w:pPr>
      <w:rPr>
        <w:rFonts w:ascii="Times New Roman" w:hAnsi="Times New Roman" w:cs="Times New Roman" w:hint="default"/>
        <w:color w:val="auto"/>
      </w:rPr>
    </w:lvl>
    <w:lvl w:ilvl="7">
      <w:start w:val="1"/>
      <w:numFmt w:val="bullet"/>
      <w:lvlText w:val="–"/>
      <w:lvlJc w:val="left"/>
      <w:pPr>
        <w:ind w:left="5761" w:hanging="360"/>
      </w:pPr>
      <w:rPr>
        <w:rFonts w:ascii="Cynulliad Sans" w:hAnsi="Cynulliad Sans" w:hint="default"/>
        <w:color w:val="42A328"/>
      </w:rPr>
    </w:lvl>
    <w:lvl w:ilvl="8">
      <w:start w:val="1"/>
      <w:numFmt w:val="bullet"/>
      <w:lvlText w:val="–"/>
      <w:lvlJc w:val="left"/>
      <w:pPr>
        <w:ind w:left="6481" w:hanging="180"/>
      </w:pPr>
      <w:rPr>
        <w:rFonts w:ascii="Cynulliad Sans" w:hAnsi="Cynulliad Sans" w:hint="default"/>
        <w:color w:val="42A328"/>
      </w:rPr>
    </w:lvl>
  </w:abstractNum>
  <w:abstractNum w:abstractNumId="9" w15:restartNumberingAfterBreak="0">
    <w:nsid w:val="1ED62160"/>
    <w:multiLevelType w:val="multilevel"/>
    <w:tmpl w:val="19D69222"/>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10" w15:restartNumberingAfterBreak="0">
    <w:nsid w:val="22973FF0"/>
    <w:multiLevelType w:val="hybridMultilevel"/>
    <w:tmpl w:val="63067A96"/>
    <w:lvl w:ilvl="0" w:tplc="B22CB03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AD0882"/>
    <w:multiLevelType w:val="multilevel"/>
    <w:tmpl w:val="3BB85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BDE853"/>
    <w:multiLevelType w:val="hybridMultilevel"/>
    <w:tmpl w:val="96B07F00"/>
    <w:lvl w:ilvl="0" w:tplc="8774E3EC">
      <w:start w:val="1"/>
      <w:numFmt w:val="decimal"/>
      <w:lvlText w:val="%1."/>
      <w:lvlJc w:val="left"/>
      <w:pPr>
        <w:ind w:left="720" w:hanging="360"/>
      </w:pPr>
    </w:lvl>
    <w:lvl w:ilvl="1" w:tplc="9708BC5A">
      <w:start w:val="1"/>
      <w:numFmt w:val="lowerLetter"/>
      <w:lvlText w:val="%2."/>
      <w:lvlJc w:val="left"/>
      <w:pPr>
        <w:ind w:left="1440" w:hanging="360"/>
      </w:pPr>
    </w:lvl>
    <w:lvl w:ilvl="2" w:tplc="7EE8F9D8">
      <w:start w:val="1"/>
      <w:numFmt w:val="lowerRoman"/>
      <w:lvlText w:val="%3."/>
      <w:lvlJc w:val="right"/>
      <w:pPr>
        <w:ind w:left="2160" w:hanging="180"/>
      </w:pPr>
    </w:lvl>
    <w:lvl w:ilvl="3" w:tplc="6F241EB2">
      <w:start w:val="1"/>
      <w:numFmt w:val="decimal"/>
      <w:lvlText w:val="%4."/>
      <w:lvlJc w:val="left"/>
      <w:pPr>
        <w:ind w:left="2880" w:hanging="360"/>
      </w:pPr>
    </w:lvl>
    <w:lvl w:ilvl="4" w:tplc="EDB00388">
      <w:start w:val="1"/>
      <w:numFmt w:val="lowerLetter"/>
      <w:lvlText w:val="%5."/>
      <w:lvlJc w:val="left"/>
      <w:pPr>
        <w:ind w:left="3600" w:hanging="360"/>
      </w:pPr>
    </w:lvl>
    <w:lvl w:ilvl="5" w:tplc="B10E08DA">
      <w:start w:val="1"/>
      <w:numFmt w:val="lowerRoman"/>
      <w:lvlText w:val="%6."/>
      <w:lvlJc w:val="right"/>
      <w:pPr>
        <w:ind w:left="4320" w:hanging="180"/>
      </w:pPr>
    </w:lvl>
    <w:lvl w:ilvl="6" w:tplc="EF2E6910">
      <w:start w:val="1"/>
      <w:numFmt w:val="decimal"/>
      <w:lvlText w:val="%7."/>
      <w:lvlJc w:val="left"/>
      <w:pPr>
        <w:ind w:left="5040" w:hanging="360"/>
      </w:pPr>
    </w:lvl>
    <w:lvl w:ilvl="7" w:tplc="0332E3CE">
      <w:start w:val="1"/>
      <w:numFmt w:val="lowerLetter"/>
      <w:lvlText w:val="%8."/>
      <w:lvlJc w:val="left"/>
      <w:pPr>
        <w:ind w:left="5760" w:hanging="360"/>
      </w:pPr>
    </w:lvl>
    <w:lvl w:ilvl="8" w:tplc="0F9E9D68">
      <w:start w:val="1"/>
      <w:numFmt w:val="lowerRoman"/>
      <w:lvlText w:val="%9."/>
      <w:lvlJc w:val="right"/>
      <w:pPr>
        <w:ind w:left="6480" w:hanging="180"/>
      </w:pPr>
    </w:lvl>
  </w:abstractNum>
  <w:abstractNum w:abstractNumId="13" w15:restartNumberingAfterBreak="0">
    <w:nsid w:val="240519F9"/>
    <w:multiLevelType w:val="multilevel"/>
    <w:tmpl w:val="0809001D"/>
    <w:styleLink w:val="1ai"/>
    <w:lvl w:ilvl="0">
      <w:start w:val="1"/>
      <w:numFmt w:val="bullet"/>
      <w:lvlText w:val="–"/>
      <w:lvlJc w:val="left"/>
      <w:pPr>
        <w:ind w:left="360" w:hanging="360"/>
      </w:pPr>
      <w:rPr>
        <w:rFonts w:ascii="Cynulliad Serif" w:hAnsi="Cynulliad Serif" w:hint="default"/>
        <w:color w:val="19191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4DB122E"/>
    <w:multiLevelType w:val="multilevel"/>
    <w:tmpl w:val="463E4FAA"/>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15" w15:restartNumberingAfterBreak="0">
    <w:nsid w:val="2A3A3944"/>
    <w:multiLevelType w:val="multilevel"/>
    <w:tmpl w:val="37D2E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592713"/>
    <w:multiLevelType w:val="multilevel"/>
    <w:tmpl w:val="D74E53EA"/>
    <w:lvl w:ilvl="0">
      <w:start w:val="1"/>
      <w:numFmt w:val="none"/>
      <w:pStyle w:val="Highlight-box"/>
      <w:lvlText w:val="%1"/>
      <w:lvlJc w:val="left"/>
      <w:pPr>
        <w:ind w:left="3" w:firstLine="0"/>
      </w:pPr>
      <w:rPr>
        <w:rFonts w:ascii="Segoe UI" w:hAnsi="Segoe UI" w:hint="default"/>
        <w:color w:val="414042"/>
        <w:sz w:val="24"/>
      </w:rPr>
    </w:lvl>
    <w:lvl w:ilvl="1">
      <w:start w:val="1"/>
      <w:numFmt w:val="bullet"/>
      <w:lvlText w:val=""/>
      <w:lvlJc w:val="left"/>
      <w:pPr>
        <w:tabs>
          <w:tab w:val="num" w:pos="570"/>
        </w:tabs>
        <w:ind w:left="570" w:hanging="567"/>
      </w:pPr>
      <w:rPr>
        <w:rFonts w:ascii="Wingdings" w:hAnsi="Wingdings" w:hint="default"/>
        <w:color w:val="414042"/>
      </w:rPr>
    </w:lvl>
    <w:lvl w:ilvl="2">
      <w:start w:val="1"/>
      <w:numFmt w:val="decimal"/>
      <w:lvlText w:val="%3."/>
      <w:lvlJc w:val="left"/>
      <w:pPr>
        <w:tabs>
          <w:tab w:val="num" w:pos="570"/>
        </w:tabs>
        <w:ind w:left="570" w:hanging="567"/>
      </w:pPr>
      <w:rPr>
        <w:rFonts w:hint="default"/>
      </w:rPr>
    </w:lvl>
    <w:lvl w:ilvl="3">
      <w:start w:val="1"/>
      <w:numFmt w:val="lowerLetter"/>
      <w:lvlText w:val="%4."/>
      <w:lvlJc w:val="left"/>
      <w:pPr>
        <w:tabs>
          <w:tab w:val="num" w:pos="570"/>
        </w:tabs>
        <w:ind w:left="570" w:hanging="567"/>
      </w:pPr>
      <w:rPr>
        <w:rFonts w:hint="default"/>
      </w:rPr>
    </w:lvl>
    <w:lvl w:ilvl="4">
      <w:start w:val="1"/>
      <w:numFmt w:val="lowerRoman"/>
      <w:lvlText w:val="%5."/>
      <w:lvlJc w:val="left"/>
      <w:pPr>
        <w:tabs>
          <w:tab w:val="num" w:pos="570"/>
        </w:tabs>
        <w:ind w:left="570" w:hanging="567"/>
      </w:pPr>
      <w:rPr>
        <w:rFonts w:hint="default"/>
      </w:rPr>
    </w:lvl>
    <w:lvl w:ilvl="5">
      <w:start w:val="1"/>
      <w:numFmt w:val="bullet"/>
      <w:lvlText w:val="–"/>
      <w:lvlJc w:val="left"/>
      <w:pPr>
        <w:ind w:left="570" w:hanging="567"/>
      </w:pPr>
      <w:rPr>
        <w:rFonts w:ascii="Times New Roman" w:hAnsi="Times New Roman" w:cs="Times New Roman" w:hint="default"/>
        <w:color w:val="auto"/>
      </w:rPr>
    </w:lvl>
    <w:lvl w:ilvl="6">
      <w:start w:val="1"/>
      <w:numFmt w:val="bullet"/>
      <w:lvlText w:val="–"/>
      <w:lvlJc w:val="left"/>
      <w:pPr>
        <w:ind w:left="570" w:hanging="567"/>
      </w:pPr>
      <w:rPr>
        <w:rFonts w:ascii="Times New Roman" w:hAnsi="Times New Roman" w:cs="Times New Roman" w:hint="default"/>
        <w:color w:val="auto"/>
      </w:rPr>
    </w:lvl>
    <w:lvl w:ilvl="7">
      <w:start w:val="1"/>
      <w:numFmt w:val="bullet"/>
      <w:lvlText w:val="–"/>
      <w:lvlJc w:val="left"/>
      <w:pPr>
        <w:ind w:left="570" w:hanging="567"/>
      </w:pPr>
      <w:rPr>
        <w:rFonts w:ascii="Times New Roman" w:hAnsi="Times New Roman" w:cs="Times New Roman" w:hint="default"/>
        <w:color w:val="auto"/>
      </w:rPr>
    </w:lvl>
    <w:lvl w:ilvl="8">
      <w:start w:val="1"/>
      <w:numFmt w:val="bullet"/>
      <w:lvlText w:val="–"/>
      <w:lvlJc w:val="left"/>
      <w:pPr>
        <w:ind w:left="570" w:hanging="567"/>
      </w:pPr>
      <w:rPr>
        <w:rFonts w:ascii="Times New Roman" w:hAnsi="Times New Roman" w:cs="Times New Roman" w:hint="default"/>
        <w:color w:val="auto"/>
      </w:rPr>
    </w:lvl>
  </w:abstractNum>
  <w:abstractNum w:abstractNumId="17" w15:restartNumberingAfterBreak="0">
    <w:nsid w:val="2C822C88"/>
    <w:multiLevelType w:val="multilevel"/>
    <w:tmpl w:val="0E368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A525FC"/>
    <w:multiLevelType w:val="multilevel"/>
    <w:tmpl w:val="C42EA854"/>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19" w15:restartNumberingAfterBreak="0">
    <w:nsid w:val="315A09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3D77BDA"/>
    <w:multiLevelType w:val="multilevel"/>
    <w:tmpl w:val="0809001F"/>
    <w:styleLink w:val="111111"/>
    <w:lvl w:ilvl="0">
      <w:start w:val="1"/>
      <w:numFmt w:val="decimal"/>
      <w:lvlText w:val="%1."/>
      <w:lvlJc w:val="left"/>
      <w:pPr>
        <w:ind w:left="360" w:hanging="360"/>
      </w:pPr>
      <w:rPr>
        <w:color w:val="191919"/>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DE9584F"/>
    <w:multiLevelType w:val="hybridMultilevel"/>
    <w:tmpl w:val="9CBC6184"/>
    <w:lvl w:ilvl="0" w:tplc="7F3217C4">
      <w:start w:val="1"/>
      <w:numFmt w:val="bullet"/>
      <w:pStyle w:val="ListBullet"/>
      <w:lvlText w:val=""/>
      <w:lvlJc w:val="left"/>
      <w:pPr>
        <w:tabs>
          <w:tab w:val="num" w:pos="1134"/>
        </w:tabs>
        <w:ind w:left="1134" w:hanging="567"/>
      </w:pPr>
      <w:rPr>
        <w:rFonts w:ascii="Wingdings" w:hAnsi="Wingdings" w:hint="default"/>
        <w:color w:val="2D2D2C" w:themeColor="text1"/>
      </w:rPr>
    </w:lvl>
    <w:lvl w:ilvl="1" w:tplc="2DA6A0F4">
      <w:start w:val="1"/>
      <w:numFmt w:val="bullet"/>
      <w:lvlText w:val=""/>
      <w:lvlJc w:val="left"/>
      <w:pPr>
        <w:tabs>
          <w:tab w:val="num" w:pos="2268"/>
        </w:tabs>
        <w:ind w:left="2268" w:hanging="567"/>
      </w:pPr>
      <w:rPr>
        <w:rFonts w:ascii="Wingdings" w:hAnsi="Wingdings" w:hint="default"/>
        <w:color w:val="2D2D2C" w:themeColor="text1"/>
      </w:rPr>
    </w:lvl>
    <w:lvl w:ilvl="2" w:tplc="60784546">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3DEC4D59"/>
    <w:multiLevelType w:val="hybridMultilevel"/>
    <w:tmpl w:val="456A82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1564950"/>
    <w:multiLevelType w:val="multilevel"/>
    <w:tmpl w:val="9A0AEDA4"/>
    <w:styleLink w:val="Conclusion-style"/>
    <w:lvl w:ilvl="0">
      <w:start w:val="1"/>
      <w:numFmt w:val="decimal"/>
      <w:suff w:val="space"/>
      <w:lvlText w:val="Conclus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134" w:hanging="567"/>
      </w:pPr>
      <w:rPr>
        <w:rFonts w:asciiTheme="minorHAnsi" w:hAnsiTheme="minorHAnsi" w:cs="Times New Roman" w:hint="default"/>
        <w:color w:val="auto"/>
      </w:rPr>
    </w:lvl>
    <w:lvl w:ilvl="6">
      <w:start w:val="1"/>
      <w:numFmt w:val="bullet"/>
      <w:lvlText w:val="–"/>
      <w:lvlJc w:val="left"/>
      <w:pPr>
        <w:tabs>
          <w:tab w:val="num" w:pos="18144"/>
        </w:tabs>
        <w:ind w:left="1134" w:hanging="567"/>
      </w:pPr>
      <w:rPr>
        <w:rFonts w:asciiTheme="minorHAnsi" w:hAnsiTheme="minorHAnsi" w:cs="Times New Roman" w:hint="default"/>
        <w:color w:val="auto"/>
      </w:rPr>
    </w:lvl>
    <w:lvl w:ilvl="7">
      <w:start w:val="1"/>
      <w:numFmt w:val="bullet"/>
      <w:lvlText w:val="–"/>
      <w:lvlJc w:val="left"/>
      <w:pPr>
        <w:ind w:left="1134" w:hanging="567"/>
      </w:pPr>
      <w:rPr>
        <w:rFonts w:asciiTheme="minorHAnsi" w:hAnsiTheme="minorHAnsi" w:cs="Times New Roman" w:hint="default"/>
        <w:color w:val="auto"/>
      </w:rPr>
    </w:lvl>
    <w:lvl w:ilvl="8">
      <w:start w:val="1"/>
      <w:numFmt w:val="bullet"/>
      <w:lvlText w:val="–"/>
      <w:lvlJc w:val="left"/>
      <w:pPr>
        <w:ind w:left="1134" w:hanging="567"/>
      </w:pPr>
      <w:rPr>
        <w:rFonts w:asciiTheme="minorHAnsi" w:hAnsiTheme="minorHAnsi" w:cs="Times New Roman" w:hint="default"/>
        <w:color w:val="auto"/>
      </w:rPr>
    </w:lvl>
  </w:abstractNum>
  <w:abstractNum w:abstractNumId="24" w15:restartNumberingAfterBreak="0">
    <w:nsid w:val="43F85109"/>
    <w:multiLevelType w:val="multilevel"/>
    <w:tmpl w:val="2BFAA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A5248C"/>
    <w:multiLevelType w:val="hybridMultilevel"/>
    <w:tmpl w:val="11EAB6BC"/>
    <w:lvl w:ilvl="0" w:tplc="DF6603A0">
      <w:start w:val="1"/>
      <w:numFmt w:val="bullet"/>
      <w:pStyle w:val="List"/>
      <w:lvlText w:val=""/>
      <w:lvlJc w:val="left"/>
      <w:pPr>
        <w:ind w:left="1040" w:hanging="360"/>
      </w:pPr>
      <w:rPr>
        <w:rFonts w:ascii="Wingdings" w:hAnsi="Wingdings" w:hint="default"/>
        <w:color w:val="30AF87"/>
      </w:rPr>
    </w:lvl>
    <w:lvl w:ilvl="1" w:tplc="B128BDA4">
      <w:start w:val="1"/>
      <w:numFmt w:val="bullet"/>
      <w:suff w:val="space"/>
      <w:lvlText w:val=""/>
      <w:lvlJc w:val="left"/>
      <w:pPr>
        <w:ind w:left="1043" w:hanging="192"/>
      </w:pPr>
      <w:rPr>
        <w:rFonts w:ascii="Symbol" w:hAnsi="Symbol" w:hint="default"/>
      </w:rPr>
    </w:lvl>
    <w:lvl w:ilvl="2" w:tplc="ACFA71CC">
      <w:start w:val="1"/>
      <w:numFmt w:val="bullet"/>
      <w:suff w:val="space"/>
      <w:lvlText w:val=""/>
      <w:lvlJc w:val="left"/>
      <w:pPr>
        <w:ind w:left="2172" w:hanging="471"/>
      </w:pPr>
      <w:rPr>
        <w:rFonts w:ascii="Symbol" w:hAnsi="Symbol" w:hint="default"/>
        <w:b/>
        <w:i w:val="0"/>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AD22B70"/>
    <w:multiLevelType w:val="hybridMultilevel"/>
    <w:tmpl w:val="D64A581A"/>
    <w:lvl w:ilvl="0" w:tplc="7A0CA1C0">
      <w:start w:val="1"/>
      <w:numFmt w:val="lowerLetter"/>
      <w:pStyle w:val="ListAlphabetical"/>
      <w:lvlText w:val="%1."/>
      <w:lvlJc w:val="left"/>
      <w:pPr>
        <w:tabs>
          <w:tab w:val="num" w:pos="1134"/>
        </w:tabs>
        <w:ind w:left="1134" w:hanging="567"/>
      </w:pPr>
      <w:rPr>
        <w:rFonts w:asciiTheme="minorHAnsi" w:hAnsiTheme="minorHAnsi" w:cs="Segoe UI" w:hint="default"/>
      </w:rPr>
    </w:lvl>
    <w:lvl w:ilvl="1" w:tplc="8E14FA6E">
      <w:start w:val="1"/>
      <w:numFmt w:val="lowerLetter"/>
      <w:lvlText w:val="%2."/>
      <w:lvlJc w:val="left"/>
      <w:pPr>
        <w:tabs>
          <w:tab w:val="num" w:pos="2268"/>
        </w:tabs>
        <w:ind w:left="2268" w:hanging="567"/>
      </w:pPr>
      <w:rPr>
        <w:rFonts w:hint="default"/>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7" w15:restartNumberingAfterBreak="0">
    <w:nsid w:val="4CB449E4"/>
    <w:multiLevelType w:val="multilevel"/>
    <w:tmpl w:val="FD149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A26C27"/>
    <w:multiLevelType w:val="multilevel"/>
    <w:tmpl w:val="65A0056E"/>
    <w:lvl w:ilvl="0">
      <w:start w:val="1"/>
      <w:numFmt w:val="none"/>
      <w:suff w:val="nothing"/>
      <w:lvlText w:val=""/>
      <w:lvlJc w:val="left"/>
      <w:pPr>
        <w:ind w:left="1127" w:firstLine="0"/>
      </w:pPr>
      <w:rPr>
        <w:rFonts w:asciiTheme="minorHAnsi" w:hAnsiTheme="minorHAnsi" w:hint="default"/>
        <w:i/>
        <w:color w:val="414042"/>
      </w:rPr>
    </w:lvl>
    <w:lvl w:ilvl="1">
      <w:start w:val="1"/>
      <w:numFmt w:val="bullet"/>
      <w:lvlText w:val=""/>
      <w:lvlJc w:val="left"/>
      <w:pPr>
        <w:tabs>
          <w:tab w:val="num" w:pos="1127"/>
        </w:tabs>
        <w:ind w:left="1694" w:hanging="567"/>
      </w:pPr>
      <w:rPr>
        <w:rFonts w:ascii="Wingdings" w:hAnsi="Wingdings" w:hint="default"/>
        <w:color w:val="414042"/>
      </w:rPr>
    </w:lvl>
    <w:lvl w:ilvl="2">
      <w:start w:val="1"/>
      <w:numFmt w:val="decimal"/>
      <w:lvlText w:val="%3."/>
      <w:lvlJc w:val="left"/>
      <w:pPr>
        <w:tabs>
          <w:tab w:val="num" w:pos="1127"/>
        </w:tabs>
        <w:ind w:left="1694" w:hanging="567"/>
      </w:pPr>
      <w:rPr>
        <w:rFonts w:asciiTheme="minorHAnsi" w:hAnsiTheme="minorHAnsi" w:hint="default"/>
        <w:color w:val="414042"/>
      </w:rPr>
    </w:lvl>
    <w:lvl w:ilvl="3">
      <w:start w:val="1"/>
      <w:numFmt w:val="lowerLetter"/>
      <w:lvlText w:val="%4."/>
      <w:lvlJc w:val="left"/>
      <w:pPr>
        <w:tabs>
          <w:tab w:val="num" w:pos="1127"/>
        </w:tabs>
        <w:ind w:left="1694" w:hanging="567"/>
      </w:pPr>
      <w:rPr>
        <w:rFonts w:asciiTheme="minorHAnsi" w:hAnsiTheme="minorHAnsi" w:hint="default"/>
        <w:color w:val="414042"/>
      </w:rPr>
    </w:lvl>
    <w:lvl w:ilvl="4">
      <w:start w:val="1"/>
      <w:numFmt w:val="lowerRoman"/>
      <w:lvlText w:val="%5."/>
      <w:lvlJc w:val="left"/>
      <w:pPr>
        <w:tabs>
          <w:tab w:val="num" w:pos="1127"/>
        </w:tabs>
        <w:ind w:left="1694" w:hanging="567"/>
      </w:pPr>
      <w:rPr>
        <w:rFonts w:asciiTheme="minorHAnsi" w:hAnsiTheme="minorHAnsi" w:hint="default"/>
        <w:color w:val="414042"/>
      </w:rPr>
    </w:lvl>
    <w:lvl w:ilvl="5">
      <w:start w:val="1"/>
      <w:numFmt w:val="none"/>
      <w:lvlText w:val="%6."/>
      <w:lvlJc w:val="left"/>
      <w:pPr>
        <w:ind w:left="1127" w:firstLine="0"/>
      </w:pPr>
      <w:rPr>
        <w:rFonts w:hint="default"/>
      </w:rPr>
    </w:lvl>
    <w:lvl w:ilvl="6">
      <w:start w:val="1"/>
      <w:numFmt w:val="none"/>
      <w:lvlText w:val="%7."/>
      <w:lvlJc w:val="left"/>
      <w:pPr>
        <w:ind w:left="1127" w:firstLine="0"/>
      </w:pPr>
      <w:rPr>
        <w:rFonts w:hint="default"/>
      </w:rPr>
    </w:lvl>
    <w:lvl w:ilvl="7">
      <w:start w:val="1"/>
      <w:numFmt w:val="none"/>
      <w:lvlText w:val="%8."/>
      <w:lvlJc w:val="left"/>
      <w:pPr>
        <w:ind w:left="1127" w:firstLine="0"/>
      </w:pPr>
      <w:rPr>
        <w:rFonts w:hint="default"/>
      </w:rPr>
    </w:lvl>
    <w:lvl w:ilvl="8">
      <w:start w:val="1"/>
      <w:numFmt w:val="none"/>
      <w:lvlText w:val="%9."/>
      <w:lvlJc w:val="left"/>
      <w:pPr>
        <w:ind w:left="1127" w:firstLine="0"/>
      </w:pPr>
      <w:rPr>
        <w:rFonts w:hint="default"/>
      </w:rPr>
    </w:lvl>
  </w:abstractNum>
  <w:abstractNum w:abstractNumId="29" w15:restartNumberingAfterBreak="0">
    <w:nsid w:val="53B9392A"/>
    <w:multiLevelType w:val="multilevel"/>
    <w:tmpl w:val="47AE4CA6"/>
    <w:lvl w:ilvl="0">
      <w:start w:val="1"/>
      <w:numFmt w:val="none"/>
      <w:suff w:val="nothing"/>
      <w:lvlText w:val=""/>
      <w:lvlJc w:val="left"/>
      <w:pPr>
        <w:ind w:left="1134" w:firstLine="0"/>
      </w:pPr>
      <w:rPr>
        <w:rFonts w:hint="default"/>
        <w:color w:val="009DA1"/>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hint="default"/>
        <w:color w:val="414042"/>
      </w:rPr>
    </w:lvl>
    <w:lvl w:ilvl="3">
      <w:start w:val="1"/>
      <w:numFmt w:val="lowerLetter"/>
      <w:lvlText w:val="%4."/>
      <w:lvlJc w:val="left"/>
      <w:pPr>
        <w:tabs>
          <w:tab w:val="num" w:pos="1134"/>
        </w:tabs>
        <w:ind w:left="1701" w:hanging="567"/>
      </w:pPr>
      <w:rPr>
        <w:rFonts w:hint="default"/>
        <w:color w:val="414042"/>
      </w:rPr>
    </w:lvl>
    <w:lvl w:ilvl="4">
      <w:start w:val="1"/>
      <w:numFmt w:val="lowerRoman"/>
      <w:lvlText w:val="%5."/>
      <w:lvlJc w:val="left"/>
      <w:pPr>
        <w:tabs>
          <w:tab w:val="num" w:pos="1134"/>
        </w:tabs>
        <w:ind w:left="1701" w:hanging="567"/>
      </w:pPr>
      <w:rPr>
        <w:rFonts w:hint="default"/>
        <w:color w:val="414042"/>
      </w:rPr>
    </w:lvl>
    <w:lvl w:ilvl="5">
      <w:start w:val="1"/>
      <w:numFmt w:val="lowerRoman"/>
      <w:lvlText w:val="%6."/>
      <w:lvlJc w:val="right"/>
      <w:pPr>
        <w:ind w:left="4430" w:hanging="180"/>
      </w:pPr>
      <w:rPr>
        <w:rFonts w:hint="default"/>
      </w:rPr>
    </w:lvl>
    <w:lvl w:ilvl="6">
      <w:start w:val="1"/>
      <w:numFmt w:val="decimal"/>
      <w:lvlText w:val="%7."/>
      <w:lvlJc w:val="left"/>
      <w:pPr>
        <w:ind w:left="5150" w:hanging="360"/>
      </w:pPr>
      <w:rPr>
        <w:rFonts w:hint="default"/>
      </w:rPr>
    </w:lvl>
    <w:lvl w:ilvl="7">
      <w:start w:val="1"/>
      <w:numFmt w:val="lowerLetter"/>
      <w:lvlText w:val="%8."/>
      <w:lvlJc w:val="left"/>
      <w:pPr>
        <w:ind w:left="5870" w:hanging="360"/>
      </w:pPr>
      <w:rPr>
        <w:rFonts w:hint="default"/>
      </w:rPr>
    </w:lvl>
    <w:lvl w:ilvl="8">
      <w:start w:val="1"/>
      <w:numFmt w:val="lowerRoman"/>
      <w:lvlText w:val="%9."/>
      <w:lvlJc w:val="right"/>
      <w:pPr>
        <w:ind w:left="6590" w:hanging="180"/>
      </w:pPr>
      <w:rPr>
        <w:rFonts w:hint="default"/>
      </w:rPr>
    </w:lvl>
  </w:abstractNum>
  <w:abstractNum w:abstractNumId="30" w15:restartNumberingAfterBreak="0">
    <w:nsid w:val="55555553"/>
    <w:multiLevelType w:val="hybridMultilevel"/>
    <w:tmpl w:val="50A2DE8C"/>
    <w:lvl w:ilvl="0" w:tplc="F6888BE6">
      <w:start w:val="1"/>
      <w:numFmt w:val="decimal"/>
      <w:suff w:val="space"/>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80873AB"/>
    <w:multiLevelType w:val="multilevel"/>
    <w:tmpl w:val="22126DC0"/>
    <w:numStyleLink w:val="Recommendation-list"/>
  </w:abstractNum>
  <w:abstractNum w:abstractNumId="32" w15:restartNumberingAfterBreak="0">
    <w:nsid w:val="58A620F6"/>
    <w:multiLevelType w:val="multilevel"/>
    <w:tmpl w:val="22126DC0"/>
    <w:numStyleLink w:val="Recommendation-list"/>
  </w:abstractNum>
  <w:abstractNum w:abstractNumId="33" w15:restartNumberingAfterBreak="0">
    <w:nsid w:val="58FF0677"/>
    <w:multiLevelType w:val="multilevel"/>
    <w:tmpl w:val="45B81974"/>
    <w:lvl w:ilvl="0">
      <w:start w:val="1"/>
      <w:numFmt w:val="none"/>
      <w:pStyle w:val="Quot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34" w15:restartNumberingAfterBreak="0">
    <w:nsid w:val="5D931661"/>
    <w:multiLevelType w:val="multilevel"/>
    <w:tmpl w:val="31669BFE"/>
    <w:lvl w:ilvl="0">
      <w:start w:val="1"/>
      <w:numFmt w:val="decimal"/>
      <w:pStyle w:val="Recommendation"/>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none"/>
      <w:lvlText w:val=""/>
      <w:lvlJc w:val="left"/>
      <w:pPr>
        <w:ind w:left="1701" w:hanging="567"/>
      </w:pPr>
      <w:rPr>
        <w:rFonts w:hint="default"/>
        <w:color w:val="auto"/>
      </w:rPr>
    </w:lvl>
    <w:lvl w:ilvl="6">
      <w:start w:val="1"/>
      <w:numFmt w:val="none"/>
      <w:lvlText w:val=""/>
      <w:lvlJc w:val="left"/>
      <w:pPr>
        <w:tabs>
          <w:tab w:val="num" w:pos="18144"/>
        </w:tabs>
        <w:ind w:left="1701" w:hanging="567"/>
      </w:pPr>
      <w:rPr>
        <w:rFonts w:hint="default"/>
        <w:color w:val="auto"/>
      </w:rPr>
    </w:lvl>
    <w:lvl w:ilvl="7">
      <w:start w:val="1"/>
      <w:numFmt w:val="none"/>
      <w:lvlText w:val=""/>
      <w:lvlJc w:val="left"/>
      <w:pPr>
        <w:ind w:left="1701" w:hanging="567"/>
      </w:pPr>
      <w:rPr>
        <w:rFonts w:hint="default"/>
        <w:color w:val="auto"/>
      </w:rPr>
    </w:lvl>
    <w:lvl w:ilvl="8">
      <w:start w:val="1"/>
      <w:numFmt w:val="none"/>
      <w:lvlText w:val=""/>
      <w:lvlJc w:val="left"/>
      <w:pPr>
        <w:ind w:left="1701" w:hanging="567"/>
      </w:pPr>
      <w:rPr>
        <w:rFonts w:hint="default"/>
        <w:color w:val="auto"/>
      </w:rPr>
    </w:lvl>
  </w:abstractNum>
  <w:abstractNum w:abstractNumId="35" w15:restartNumberingAfterBreak="0">
    <w:nsid w:val="5DAB328A"/>
    <w:multiLevelType w:val="multilevel"/>
    <w:tmpl w:val="0DC210BE"/>
    <w:lvl w:ilvl="0">
      <w:start w:val="1"/>
      <w:numFmt w:val="none"/>
      <w:pStyle w:val="Quote-highlight"/>
      <w:suff w:val="nothing"/>
      <w:lvlText w:val=""/>
      <w:lvlJc w:val="left"/>
      <w:pPr>
        <w:ind w:left="1134" w:firstLine="0"/>
      </w:pPr>
      <w:rPr>
        <w:rFonts w:hint="default"/>
        <w:color w:val="009DA1"/>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hint="default"/>
        <w:color w:val="414042"/>
      </w:rPr>
    </w:lvl>
    <w:lvl w:ilvl="3">
      <w:start w:val="1"/>
      <w:numFmt w:val="lowerLetter"/>
      <w:lvlText w:val="%4."/>
      <w:lvlJc w:val="left"/>
      <w:pPr>
        <w:tabs>
          <w:tab w:val="num" w:pos="1134"/>
        </w:tabs>
        <w:ind w:left="1701" w:hanging="567"/>
      </w:pPr>
      <w:rPr>
        <w:rFonts w:hint="default"/>
        <w:color w:val="414042"/>
      </w:rPr>
    </w:lvl>
    <w:lvl w:ilvl="4">
      <w:start w:val="1"/>
      <w:numFmt w:val="lowerRoman"/>
      <w:lvlText w:val="%5."/>
      <w:lvlJc w:val="left"/>
      <w:pPr>
        <w:tabs>
          <w:tab w:val="num" w:pos="1134"/>
        </w:tabs>
        <w:ind w:left="1701" w:hanging="567"/>
      </w:pPr>
      <w:rPr>
        <w:rFonts w:hint="default"/>
        <w:color w:val="414042"/>
      </w:rPr>
    </w:lvl>
    <w:lvl w:ilvl="5">
      <w:start w:val="1"/>
      <w:numFmt w:val="none"/>
      <w:lvlText w:val=""/>
      <w:lvlJc w:val="left"/>
      <w:pPr>
        <w:ind w:left="1701" w:hanging="567"/>
      </w:pPr>
      <w:rPr>
        <w:rFonts w:hint="default"/>
      </w:rPr>
    </w:lvl>
    <w:lvl w:ilvl="6">
      <w:start w:val="1"/>
      <w:numFmt w:val="none"/>
      <w:lvlText w:val="%7."/>
      <w:lvlJc w:val="left"/>
      <w:pPr>
        <w:ind w:left="1701" w:hanging="567"/>
      </w:pPr>
      <w:rPr>
        <w:rFonts w:hint="default"/>
      </w:rPr>
    </w:lvl>
    <w:lvl w:ilvl="7">
      <w:start w:val="1"/>
      <w:numFmt w:val="none"/>
      <w:lvlText w:val="%8."/>
      <w:lvlJc w:val="left"/>
      <w:pPr>
        <w:ind w:left="1701" w:hanging="567"/>
      </w:pPr>
      <w:rPr>
        <w:rFonts w:hint="default"/>
      </w:rPr>
    </w:lvl>
    <w:lvl w:ilvl="8">
      <w:start w:val="1"/>
      <w:numFmt w:val="none"/>
      <w:lvlText w:val="%9."/>
      <w:lvlJc w:val="right"/>
      <w:pPr>
        <w:ind w:left="1701" w:hanging="567"/>
      </w:pPr>
      <w:rPr>
        <w:rFonts w:hint="default"/>
      </w:rPr>
    </w:lvl>
  </w:abstractNum>
  <w:abstractNum w:abstractNumId="36" w15:restartNumberingAfterBreak="0">
    <w:nsid w:val="6BAB5475"/>
    <w:multiLevelType w:val="hybridMultilevel"/>
    <w:tmpl w:val="D200C46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170F38"/>
    <w:multiLevelType w:val="multilevel"/>
    <w:tmpl w:val="FAE02574"/>
    <w:lvl w:ilvl="0">
      <w:start w:val="1"/>
      <w:numFmt w:val="decimal"/>
      <w:pStyle w:val="Conclusion"/>
      <w:suff w:val="space"/>
      <w:lvlText w:val="Conclus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none"/>
      <w:lvlText w:val=""/>
      <w:lvlJc w:val="left"/>
      <w:pPr>
        <w:ind w:left="1134" w:hanging="567"/>
      </w:pPr>
      <w:rPr>
        <w:rFonts w:hint="default"/>
        <w:color w:val="auto"/>
      </w:rPr>
    </w:lvl>
    <w:lvl w:ilvl="6">
      <w:start w:val="1"/>
      <w:numFmt w:val="none"/>
      <w:lvlText w:val=""/>
      <w:lvlJc w:val="left"/>
      <w:pPr>
        <w:tabs>
          <w:tab w:val="num" w:pos="18144"/>
        </w:tabs>
        <w:ind w:left="1134" w:hanging="567"/>
      </w:pPr>
      <w:rPr>
        <w:rFonts w:hint="default"/>
        <w:color w:val="auto"/>
      </w:rPr>
    </w:lvl>
    <w:lvl w:ilvl="7">
      <w:start w:val="1"/>
      <w:numFmt w:val="none"/>
      <w:lvlText w:val=""/>
      <w:lvlJc w:val="left"/>
      <w:pPr>
        <w:ind w:left="1134" w:hanging="567"/>
      </w:pPr>
      <w:rPr>
        <w:rFonts w:hint="default"/>
        <w:color w:val="auto"/>
      </w:rPr>
    </w:lvl>
    <w:lvl w:ilvl="8">
      <w:start w:val="1"/>
      <w:numFmt w:val="none"/>
      <w:lvlText w:val="%9"/>
      <w:lvlJc w:val="left"/>
      <w:pPr>
        <w:ind w:left="1134" w:hanging="567"/>
      </w:pPr>
      <w:rPr>
        <w:rFonts w:hint="default"/>
        <w:color w:val="auto"/>
      </w:rPr>
    </w:lvl>
  </w:abstractNum>
  <w:abstractNum w:abstractNumId="38" w15:restartNumberingAfterBreak="0">
    <w:nsid w:val="71E418D9"/>
    <w:multiLevelType w:val="multilevel"/>
    <w:tmpl w:val="4C968CDA"/>
    <w:lvl w:ilvl="0">
      <w:start w:val="1"/>
      <w:numFmt w:val="decimal"/>
      <w:pStyle w:val="Joint-list"/>
      <w:suff w:val="space"/>
      <w:lvlText w:val="Recommendation %1."/>
      <w:lvlJc w:val="left"/>
      <w:pPr>
        <w:ind w:left="0" w:firstLine="0"/>
      </w:pPr>
      <w:rPr>
        <w:rFonts w:asciiTheme="majorHAnsi" w:hAnsiTheme="majorHAnsi" w:hint="default"/>
        <w:b/>
        <w:bCs/>
        <w:i w:val="0"/>
        <w:iCs w:val="0"/>
        <w:caps w:val="0"/>
        <w:smallCaps w:val="0"/>
        <w:strike w:val="0"/>
        <w:dstrike w:val="0"/>
        <w:outline w:val="0"/>
        <w:shadow w:val="0"/>
        <w:emboss w:val="0"/>
        <w:imprint w:val="0"/>
        <w:noProof w:val="0"/>
        <w:vanish w:val="0"/>
        <w:color w:val="41404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tabs>
          <w:tab w:val="num" w:pos="1138"/>
        </w:tabs>
        <w:ind w:left="1134" w:hanging="567"/>
      </w:pPr>
      <w:rPr>
        <w:rFonts w:ascii="Wingdings" w:hAnsi="Wingdings" w:hint="default"/>
        <w:i w:val="0"/>
        <w:color w:val="2D2D2C" w:themeColor="text1"/>
      </w:rPr>
    </w:lvl>
    <w:lvl w:ilvl="2">
      <w:start w:val="1"/>
      <w:numFmt w:val="decimal"/>
      <w:lvlText w:val="%3."/>
      <w:lvlJc w:val="left"/>
      <w:pPr>
        <w:tabs>
          <w:tab w:val="num" w:pos="1138"/>
        </w:tabs>
        <w:ind w:left="1134" w:hanging="567"/>
      </w:pPr>
      <w:rPr>
        <w:rFonts w:hint="default"/>
        <w:color w:val="414042"/>
      </w:rPr>
    </w:lvl>
    <w:lvl w:ilvl="3">
      <w:start w:val="1"/>
      <w:numFmt w:val="lowerLetter"/>
      <w:lvlText w:val="%4."/>
      <w:lvlJc w:val="left"/>
      <w:pPr>
        <w:tabs>
          <w:tab w:val="num" w:pos="1138"/>
        </w:tabs>
        <w:ind w:left="1134" w:hanging="567"/>
      </w:pPr>
      <w:rPr>
        <w:rFonts w:hint="default"/>
        <w:color w:val="414042"/>
      </w:rPr>
    </w:lvl>
    <w:lvl w:ilvl="4">
      <w:start w:val="1"/>
      <w:numFmt w:val="lowerRoman"/>
      <w:lvlText w:val="%5."/>
      <w:lvlJc w:val="left"/>
      <w:pPr>
        <w:tabs>
          <w:tab w:val="num" w:pos="1138"/>
        </w:tabs>
        <w:ind w:left="1134" w:hanging="567"/>
      </w:pPr>
      <w:rPr>
        <w:rFonts w:hint="default"/>
        <w:color w:val="414042"/>
      </w:rPr>
    </w:lvl>
    <w:lvl w:ilvl="5">
      <w:start w:val="1"/>
      <w:numFmt w:val="decimal"/>
      <w:lvlRestart w:val="0"/>
      <w:suff w:val="space"/>
      <w:lvlText w:val="Conclusion %6."/>
      <w:lvlJc w:val="left"/>
      <w:pPr>
        <w:ind w:left="0" w:firstLine="0"/>
      </w:pPr>
      <w:rPr>
        <w:rFonts w:asciiTheme="majorHAnsi" w:hAnsiTheme="majorHAnsi" w:hint="default"/>
        <w:b/>
        <w:i w:val="0"/>
        <w:color w:val="414042"/>
      </w:rPr>
    </w:lvl>
    <w:lvl w:ilvl="6">
      <w:start w:val="1"/>
      <w:numFmt w:val="none"/>
      <w:lvlText w:val=""/>
      <w:lvlJc w:val="left"/>
      <w:pPr>
        <w:ind w:left="1134" w:hanging="567"/>
      </w:pPr>
      <w:rPr>
        <w:rFonts w:hint="default"/>
        <w:color w:val="auto"/>
      </w:rPr>
    </w:lvl>
    <w:lvl w:ilvl="7">
      <w:start w:val="1"/>
      <w:numFmt w:val="none"/>
      <w:lvlText w:val=""/>
      <w:lvlJc w:val="left"/>
      <w:pPr>
        <w:ind w:left="1134" w:hanging="567"/>
      </w:pPr>
      <w:rPr>
        <w:rFonts w:hint="default"/>
        <w:color w:val="auto"/>
      </w:rPr>
    </w:lvl>
    <w:lvl w:ilvl="8">
      <w:start w:val="1"/>
      <w:numFmt w:val="none"/>
      <w:lvlText w:val=""/>
      <w:lvlJc w:val="left"/>
      <w:pPr>
        <w:ind w:left="1134" w:hanging="567"/>
      </w:pPr>
      <w:rPr>
        <w:rFonts w:hint="default"/>
        <w:color w:val="auto"/>
      </w:rPr>
    </w:lvl>
  </w:abstractNum>
  <w:abstractNum w:abstractNumId="39" w15:restartNumberingAfterBreak="0">
    <w:nsid w:val="73607162"/>
    <w:multiLevelType w:val="multilevel"/>
    <w:tmpl w:val="9A0AEDA4"/>
    <w:numStyleLink w:val="Conclusion-style"/>
  </w:abstractNum>
  <w:abstractNum w:abstractNumId="40" w15:restartNumberingAfterBreak="0">
    <w:nsid w:val="73F6695F"/>
    <w:multiLevelType w:val="hybridMultilevel"/>
    <w:tmpl w:val="0C20A92E"/>
    <w:lvl w:ilvl="0" w:tplc="F4363B1A">
      <w:start w:val="1"/>
      <w:numFmt w:val="decimal"/>
      <w:pStyle w:val="ListNumber"/>
      <w:lvlText w:val="%1."/>
      <w:lvlJc w:val="left"/>
      <w:pPr>
        <w:tabs>
          <w:tab w:val="num" w:pos="1134"/>
        </w:tabs>
        <w:ind w:left="1134" w:hanging="567"/>
      </w:pPr>
      <w:rPr>
        <w:rFonts w:asciiTheme="minorHAnsi" w:hAnsiTheme="minorHAnsi" w:cs="Segoe UI" w:hint="default"/>
        <w:b w:val="0"/>
        <w:bCs w:val="0"/>
        <w:i w:val="0"/>
        <w:iCs w:val="0"/>
        <w:caps w:val="0"/>
        <w:smallCaps w:val="0"/>
        <w:strike w:val="0"/>
        <w:dstrike w:val="0"/>
        <w:noProof w:val="0"/>
        <w:vanish w:val="0"/>
        <w:color w:val="2D2D2C" w:themeColor="text1"/>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C116F706">
      <w:start w:val="1"/>
      <w:numFmt w:val="lowerLetter"/>
      <w:lvlText w:val="%2."/>
      <w:lvlJc w:val="left"/>
      <w:pPr>
        <w:tabs>
          <w:tab w:val="num" w:pos="2268"/>
        </w:tabs>
        <w:ind w:left="2268" w:hanging="567"/>
      </w:pPr>
      <w:rPr>
        <w:rFonts w:hint="default"/>
      </w:rPr>
    </w:lvl>
    <w:lvl w:ilvl="2" w:tplc="38D49962">
      <w:start w:val="1"/>
      <w:numFmt w:val="lowerRoman"/>
      <w:lvlText w:val="%3."/>
      <w:lvlJc w:val="right"/>
      <w:pPr>
        <w:ind w:left="2387" w:hanging="180"/>
      </w:pPr>
    </w:lvl>
    <w:lvl w:ilvl="3" w:tplc="71961324">
      <w:start w:val="1"/>
      <w:numFmt w:val="decimal"/>
      <w:lvlText w:val="%4."/>
      <w:lvlJc w:val="left"/>
      <w:pPr>
        <w:ind w:left="3107" w:hanging="360"/>
      </w:pPr>
    </w:lvl>
    <w:lvl w:ilvl="4" w:tplc="245410A2">
      <w:start w:val="1"/>
      <w:numFmt w:val="lowerLetter"/>
      <w:lvlText w:val="%5."/>
      <w:lvlJc w:val="left"/>
      <w:pPr>
        <w:ind w:left="3827" w:hanging="360"/>
      </w:pPr>
    </w:lvl>
    <w:lvl w:ilvl="5" w:tplc="23748A02">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41" w15:restartNumberingAfterBreak="0">
    <w:nsid w:val="78A4788A"/>
    <w:multiLevelType w:val="multilevel"/>
    <w:tmpl w:val="62C6AD10"/>
    <w:lvl w:ilvl="0">
      <w:start w:val="1"/>
      <w:numFmt w:val="decimal"/>
      <w:lvlText w:val="%1."/>
      <w:lvlJc w:val="left"/>
      <w:pPr>
        <w:tabs>
          <w:tab w:val="num" w:pos="567"/>
        </w:tabs>
        <w:ind w:left="567" w:hanging="567"/>
      </w:pPr>
      <w:rPr>
        <w:rFonts w:hint="default"/>
      </w:rPr>
    </w:lvl>
    <w:lvl w:ilvl="1">
      <w:start w:val="1"/>
      <w:numFmt w:val="decimal"/>
      <w:suff w:val="space"/>
      <w:lvlText w:val="%1. %2."/>
      <w:lvlJc w:val="left"/>
      <w:pPr>
        <w:ind w:left="680" w:hanging="68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7BE95D7B"/>
    <w:multiLevelType w:val="multilevel"/>
    <w:tmpl w:val="FBE2931C"/>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43" w15:restartNumberingAfterBreak="0">
    <w:nsid w:val="7E79462E"/>
    <w:multiLevelType w:val="multilevel"/>
    <w:tmpl w:val="C42EA854"/>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num w:numId="1" w16cid:durableId="260845334">
    <w:abstractNumId w:val="12"/>
  </w:num>
  <w:num w:numId="2" w16cid:durableId="895624000">
    <w:abstractNumId w:val="40"/>
  </w:num>
  <w:num w:numId="3" w16cid:durableId="65998611">
    <w:abstractNumId w:val="2"/>
  </w:num>
  <w:num w:numId="4" w16cid:durableId="1492406076">
    <w:abstractNumId w:val="13"/>
  </w:num>
  <w:num w:numId="5" w16cid:durableId="362747651">
    <w:abstractNumId w:val="42"/>
  </w:num>
  <w:num w:numId="6" w16cid:durableId="1769426307">
    <w:abstractNumId w:val="20"/>
  </w:num>
  <w:num w:numId="7" w16cid:durableId="948699831">
    <w:abstractNumId w:val="41"/>
  </w:num>
  <w:num w:numId="8" w16cid:durableId="1977366694">
    <w:abstractNumId w:val="21"/>
  </w:num>
  <w:num w:numId="9" w16cid:durableId="153691537">
    <w:abstractNumId w:val="29"/>
  </w:num>
  <w:num w:numId="10" w16cid:durableId="1823618371">
    <w:abstractNumId w:val="16"/>
  </w:num>
  <w:num w:numId="11" w16cid:durableId="84310396">
    <w:abstractNumId w:val="38"/>
  </w:num>
  <w:num w:numId="12" w16cid:durableId="612442594">
    <w:abstractNumId w:val="25"/>
  </w:num>
  <w:num w:numId="13" w16cid:durableId="852651706">
    <w:abstractNumId w:val="26"/>
  </w:num>
  <w:num w:numId="14" w16cid:durableId="2138446509">
    <w:abstractNumId w:val="1"/>
  </w:num>
  <w:num w:numId="15" w16cid:durableId="616833951">
    <w:abstractNumId w:val="21"/>
    <w:lvlOverride w:ilvl="0">
      <w:startOverride w:val="1"/>
    </w:lvlOverride>
  </w:num>
  <w:num w:numId="16" w16cid:durableId="1196425850">
    <w:abstractNumId w:val="38"/>
  </w:num>
  <w:num w:numId="17" w16cid:durableId="1969775208">
    <w:abstractNumId w:val="0"/>
  </w:num>
  <w:num w:numId="18" w16cid:durableId="1823891521">
    <w:abstractNumId w:val="42"/>
    <w:lvlOverride w:ilvl="0">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Override>
    <w:lvlOverride w:ilvl="1">
      <w:lvl w:ilvl="1">
        <w:start w:val="1"/>
        <w:numFmt w:val="bullet"/>
        <w:lvlText w:val=""/>
        <w:lvlJc w:val="left"/>
        <w:pPr>
          <w:tabs>
            <w:tab w:val="num" w:pos="1134"/>
          </w:tabs>
          <w:ind w:left="1135" w:hanging="567"/>
        </w:pPr>
        <w:rPr>
          <w:rFonts w:ascii="Wingdings" w:hAnsi="Wingdings" w:hint="default"/>
          <w:color w:val="414042"/>
        </w:rPr>
      </w:lvl>
    </w:lvlOverride>
    <w:lvlOverride w:ilvl="2">
      <w:lvl w:ilvl="2">
        <w:start w:val="1"/>
        <w:numFmt w:val="decimal"/>
        <w:lvlText w:val="%3."/>
        <w:lvlJc w:val="left"/>
        <w:pPr>
          <w:tabs>
            <w:tab w:val="num" w:pos="1134"/>
          </w:tabs>
          <w:ind w:left="1135" w:hanging="567"/>
        </w:pPr>
        <w:rPr>
          <w:rFonts w:hint="default"/>
          <w:color w:val="414042"/>
        </w:rPr>
      </w:lvl>
    </w:lvlOverride>
    <w:lvlOverride w:ilvl="3">
      <w:lvl w:ilvl="3">
        <w:start w:val="1"/>
        <w:numFmt w:val="lowerLetter"/>
        <w:lvlText w:val="%4."/>
        <w:lvlJc w:val="left"/>
        <w:pPr>
          <w:tabs>
            <w:tab w:val="num" w:pos="1134"/>
          </w:tabs>
          <w:ind w:left="1135" w:hanging="567"/>
        </w:pPr>
        <w:rPr>
          <w:rFonts w:hint="default"/>
          <w:color w:val="414042"/>
        </w:rPr>
      </w:lvl>
    </w:lvlOverride>
    <w:lvlOverride w:ilvl="4">
      <w:lvl w:ilvl="4">
        <w:start w:val="1"/>
        <w:numFmt w:val="lowerRoman"/>
        <w:lvlText w:val="%5."/>
        <w:lvlJc w:val="left"/>
        <w:pPr>
          <w:tabs>
            <w:tab w:val="num" w:pos="1134"/>
          </w:tabs>
          <w:ind w:left="1135" w:hanging="567"/>
        </w:pPr>
        <w:rPr>
          <w:rFonts w:hint="default"/>
          <w:color w:val="414042"/>
        </w:rPr>
      </w:lvl>
    </w:lvlOverride>
    <w:lvlOverride w:ilvl="5">
      <w:lvl w:ilvl="5">
        <w:start w:val="1"/>
        <w:numFmt w:val="bullet"/>
        <w:lvlText w:val="–"/>
        <w:lvlJc w:val="left"/>
        <w:pPr>
          <w:ind w:left="1701" w:hanging="567"/>
        </w:pPr>
        <w:rPr>
          <w:rFonts w:ascii="Times New Roman" w:hAnsi="Times New Roman" w:cs="Times New Roman" w:hint="default"/>
          <w:color w:val="auto"/>
        </w:rPr>
      </w:lvl>
    </w:lvlOverride>
    <w:lvlOverride w:ilvl="6">
      <w:lvl w:ilvl="6">
        <w:start w:val="1"/>
        <w:numFmt w:val="bullet"/>
        <w:lvlText w:val="–"/>
        <w:lvlJc w:val="left"/>
        <w:pPr>
          <w:tabs>
            <w:tab w:val="num" w:pos="18144"/>
          </w:tabs>
          <w:ind w:left="1701" w:hanging="567"/>
        </w:pPr>
        <w:rPr>
          <w:rFonts w:asciiTheme="minorHAnsi" w:hAnsiTheme="minorHAnsi" w:hint="default"/>
          <w:color w:val="auto"/>
        </w:rPr>
      </w:lvl>
    </w:lvlOverride>
    <w:lvlOverride w:ilvl="7">
      <w:lvl w:ilvl="7">
        <w:start w:val="1"/>
        <w:numFmt w:val="bullet"/>
        <w:lvlText w:val="–"/>
        <w:lvlJc w:val="left"/>
        <w:pPr>
          <w:ind w:left="1701" w:hanging="567"/>
        </w:pPr>
        <w:rPr>
          <w:rFonts w:ascii="Times New Roman" w:hAnsi="Times New Roman" w:cs="Times New Roman" w:hint="default"/>
          <w:color w:val="auto"/>
        </w:rPr>
      </w:lvl>
    </w:lvlOverride>
    <w:lvlOverride w:ilvl="8">
      <w:lvl w:ilvl="8">
        <w:start w:val="1"/>
        <w:numFmt w:val="bullet"/>
        <w:lvlText w:val="–"/>
        <w:lvlJc w:val="left"/>
        <w:pPr>
          <w:ind w:left="1701" w:hanging="567"/>
        </w:pPr>
        <w:rPr>
          <w:rFonts w:asciiTheme="minorHAnsi" w:hAnsiTheme="minorHAnsi" w:hint="default"/>
          <w:color w:val="auto"/>
        </w:rPr>
      </w:lvl>
    </w:lvlOverride>
  </w:num>
  <w:num w:numId="19" w16cid:durableId="1897889638">
    <w:abstractNumId w:val="7"/>
  </w:num>
  <w:num w:numId="20" w16cid:durableId="305090864">
    <w:abstractNumId w:val="6"/>
  </w:num>
  <w:num w:numId="21" w16cid:durableId="1027288796">
    <w:abstractNumId w:val="31"/>
  </w:num>
  <w:num w:numId="22" w16cid:durableId="1073314504">
    <w:abstractNumId w:val="32"/>
  </w:num>
  <w:num w:numId="23" w16cid:durableId="1698578247">
    <w:abstractNumId w:val="39"/>
  </w:num>
  <w:num w:numId="24" w16cid:durableId="1109083110">
    <w:abstractNumId w:val="34"/>
  </w:num>
  <w:num w:numId="25" w16cid:durableId="1794865161">
    <w:abstractNumId w:val="23"/>
  </w:num>
  <w:num w:numId="26" w16cid:durableId="815143714">
    <w:abstractNumId w:val="37"/>
  </w:num>
  <w:num w:numId="27" w16cid:durableId="1588492703">
    <w:abstractNumId w:val="8"/>
  </w:num>
  <w:num w:numId="28" w16cid:durableId="936909839">
    <w:abstractNumId w:val="29"/>
    <w:lvlOverride w:ilvl="0">
      <w:lvl w:ilvl="0">
        <w:start w:val="1"/>
        <w:numFmt w:val="none"/>
        <w:suff w:val="nothing"/>
        <w:lvlText w:val=""/>
        <w:lvlJc w:val="left"/>
        <w:pPr>
          <w:ind w:left="1134" w:firstLine="0"/>
        </w:pPr>
        <w:rPr>
          <w:rFonts w:hint="default"/>
          <w:color w:val="009DA1"/>
        </w:rPr>
      </w:lvl>
    </w:lvlOverride>
    <w:lvlOverride w:ilvl="1">
      <w:lvl w:ilvl="1">
        <w:start w:val="1"/>
        <w:numFmt w:val="bullet"/>
        <w:lvlText w:val=""/>
        <w:lvlJc w:val="left"/>
        <w:pPr>
          <w:tabs>
            <w:tab w:val="num" w:pos="1134"/>
          </w:tabs>
          <w:ind w:left="1701" w:hanging="567"/>
        </w:pPr>
        <w:rPr>
          <w:rFonts w:ascii="Wingdings" w:hAnsi="Wingdings" w:hint="default"/>
          <w:color w:val="414042"/>
        </w:rPr>
      </w:lvl>
    </w:lvlOverride>
    <w:lvlOverride w:ilvl="2">
      <w:lvl w:ilvl="2">
        <w:start w:val="1"/>
        <w:numFmt w:val="decimal"/>
        <w:lvlText w:val="%3."/>
        <w:lvlJc w:val="left"/>
        <w:pPr>
          <w:tabs>
            <w:tab w:val="num" w:pos="1134"/>
          </w:tabs>
          <w:ind w:left="1701" w:hanging="567"/>
        </w:pPr>
        <w:rPr>
          <w:rFonts w:hint="default"/>
          <w:color w:val="414042"/>
        </w:rPr>
      </w:lvl>
    </w:lvlOverride>
    <w:lvlOverride w:ilvl="3">
      <w:lvl w:ilvl="3">
        <w:start w:val="1"/>
        <w:numFmt w:val="lowerLetter"/>
        <w:lvlText w:val="%4."/>
        <w:lvlJc w:val="left"/>
        <w:pPr>
          <w:tabs>
            <w:tab w:val="num" w:pos="1134"/>
          </w:tabs>
          <w:ind w:left="1701" w:hanging="567"/>
        </w:pPr>
        <w:rPr>
          <w:rFonts w:hint="default"/>
          <w:color w:val="414042"/>
        </w:rPr>
      </w:lvl>
    </w:lvlOverride>
    <w:lvlOverride w:ilvl="4">
      <w:lvl w:ilvl="4">
        <w:start w:val="1"/>
        <w:numFmt w:val="lowerRoman"/>
        <w:lvlText w:val="%5."/>
        <w:lvlJc w:val="left"/>
        <w:pPr>
          <w:tabs>
            <w:tab w:val="num" w:pos="1134"/>
          </w:tabs>
          <w:ind w:left="1701" w:hanging="567"/>
        </w:pPr>
        <w:rPr>
          <w:rFonts w:hint="default"/>
          <w:color w:val="414042"/>
        </w:rPr>
      </w:lvl>
    </w:lvlOverride>
    <w:lvlOverride w:ilvl="5">
      <w:lvl w:ilvl="5">
        <w:start w:val="1"/>
        <w:numFmt w:val="none"/>
        <w:lvlText w:val=""/>
        <w:lvlJc w:val="left"/>
        <w:pPr>
          <w:ind w:left="1701" w:hanging="567"/>
        </w:pPr>
        <w:rPr>
          <w:rFonts w:hint="default"/>
        </w:rPr>
      </w:lvl>
    </w:lvlOverride>
    <w:lvlOverride w:ilvl="6">
      <w:lvl w:ilvl="6">
        <w:start w:val="1"/>
        <w:numFmt w:val="none"/>
        <w:lvlText w:val="%7."/>
        <w:lvlJc w:val="left"/>
        <w:pPr>
          <w:ind w:left="1701" w:hanging="567"/>
        </w:pPr>
        <w:rPr>
          <w:rFonts w:hint="default"/>
        </w:rPr>
      </w:lvl>
    </w:lvlOverride>
    <w:lvlOverride w:ilvl="7">
      <w:lvl w:ilvl="7">
        <w:start w:val="1"/>
        <w:numFmt w:val="none"/>
        <w:lvlText w:val="%8."/>
        <w:lvlJc w:val="left"/>
        <w:pPr>
          <w:ind w:left="1701" w:hanging="567"/>
        </w:pPr>
        <w:rPr>
          <w:rFonts w:hint="default"/>
        </w:rPr>
      </w:lvl>
    </w:lvlOverride>
    <w:lvlOverride w:ilvl="8">
      <w:lvl w:ilvl="8">
        <w:start w:val="1"/>
        <w:numFmt w:val="none"/>
        <w:lvlText w:val="%9."/>
        <w:lvlJc w:val="right"/>
        <w:pPr>
          <w:ind w:left="1701" w:hanging="567"/>
        </w:pPr>
        <w:rPr>
          <w:rFonts w:hint="default"/>
        </w:rPr>
      </w:lvl>
    </w:lvlOverride>
  </w:num>
  <w:num w:numId="29" w16cid:durableId="994799035">
    <w:abstractNumId w:val="43"/>
  </w:num>
  <w:num w:numId="30" w16cid:durableId="1058897666">
    <w:abstractNumId w:val="18"/>
  </w:num>
  <w:num w:numId="31" w16cid:durableId="935407614">
    <w:abstractNumId w:val="19"/>
  </w:num>
  <w:num w:numId="32" w16cid:durableId="37247443">
    <w:abstractNumId w:val="4"/>
  </w:num>
  <w:num w:numId="33" w16cid:durableId="1139155797">
    <w:abstractNumId w:val="14"/>
  </w:num>
  <w:num w:numId="34" w16cid:durableId="297416985">
    <w:abstractNumId w:val="33"/>
  </w:num>
  <w:num w:numId="35" w16cid:durableId="1440487458">
    <w:abstractNumId w:val="9"/>
  </w:num>
  <w:num w:numId="36" w16cid:durableId="1278875987">
    <w:abstractNumId w:val="3"/>
  </w:num>
  <w:num w:numId="37" w16cid:durableId="249124498">
    <w:abstractNumId w:val="28"/>
  </w:num>
  <w:num w:numId="38" w16cid:durableId="718626458">
    <w:abstractNumId w:val="35"/>
  </w:num>
  <w:num w:numId="39" w16cid:durableId="566963808">
    <w:abstractNumId w:val="30"/>
  </w:num>
  <w:num w:numId="40" w16cid:durableId="445779219">
    <w:abstractNumId w:val="15"/>
  </w:num>
  <w:num w:numId="41" w16cid:durableId="982587242">
    <w:abstractNumId w:val="27"/>
  </w:num>
  <w:num w:numId="42" w16cid:durableId="1853838242">
    <w:abstractNumId w:val="22"/>
  </w:num>
  <w:num w:numId="43" w16cid:durableId="884682291">
    <w:abstractNumId w:val="11"/>
  </w:num>
  <w:num w:numId="44" w16cid:durableId="1979601799">
    <w:abstractNumId w:val="24"/>
  </w:num>
  <w:num w:numId="45" w16cid:durableId="162084814">
    <w:abstractNumId w:val="10"/>
  </w:num>
  <w:num w:numId="46" w16cid:durableId="1152022498">
    <w:abstractNumId w:val="36"/>
  </w:num>
  <w:num w:numId="47" w16cid:durableId="230501709">
    <w:abstractNumId w:val="17"/>
  </w:num>
  <w:num w:numId="48" w16cid:durableId="2086878189">
    <w:abstractNumId w:val="5"/>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activeWritingStyle w:appName="MSWord" w:lang="en-US" w:vendorID="64" w:dllVersion="0" w:nlCheck="1" w:checkStyle="0"/>
  <w:activeWritingStyle w:appName="MSWord" w:lang="en-GB" w:vendorID="64" w:dllVersion="0"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0"/>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615"/>
    <w:rsid w:val="0000538F"/>
    <w:rsid w:val="000060FE"/>
    <w:rsid w:val="0000662A"/>
    <w:rsid w:val="0000676B"/>
    <w:rsid w:val="00006DEC"/>
    <w:rsid w:val="00007A33"/>
    <w:rsid w:val="000120A9"/>
    <w:rsid w:val="000129E2"/>
    <w:rsid w:val="00012B20"/>
    <w:rsid w:val="000135C7"/>
    <w:rsid w:val="00013C08"/>
    <w:rsid w:val="00014BE4"/>
    <w:rsid w:val="000176E4"/>
    <w:rsid w:val="000200EF"/>
    <w:rsid w:val="000216E4"/>
    <w:rsid w:val="00021D3C"/>
    <w:rsid w:val="0002245E"/>
    <w:rsid w:val="000224DA"/>
    <w:rsid w:val="00025F50"/>
    <w:rsid w:val="000301C1"/>
    <w:rsid w:val="0003070F"/>
    <w:rsid w:val="00030B25"/>
    <w:rsid w:val="0003177C"/>
    <w:rsid w:val="00032FBB"/>
    <w:rsid w:val="00033904"/>
    <w:rsid w:val="0003395A"/>
    <w:rsid w:val="000369F7"/>
    <w:rsid w:val="00036F37"/>
    <w:rsid w:val="000426AD"/>
    <w:rsid w:val="00042B3C"/>
    <w:rsid w:val="00042CCE"/>
    <w:rsid w:val="000446AA"/>
    <w:rsid w:val="0004756F"/>
    <w:rsid w:val="00051DFB"/>
    <w:rsid w:val="000534E4"/>
    <w:rsid w:val="000534EB"/>
    <w:rsid w:val="00053725"/>
    <w:rsid w:val="00056039"/>
    <w:rsid w:val="000572E8"/>
    <w:rsid w:val="00060A65"/>
    <w:rsid w:val="00064A00"/>
    <w:rsid w:val="00065771"/>
    <w:rsid w:val="00066D7F"/>
    <w:rsid w:val="0006765C"/>
    <w:rsid w:val="000717E7"/>
    <w:rsid w:val="00073116"/>
    <w:rsid w:val="00073715"/>
    <w:rsid w:val="00073AAC"/>
    <w:rsid w:val="000746EE"/>
    <w:rsid w:val="00074DEB"/>
    <w:rsid w:val="00074FB1"/>
    <w:rsid w:val="0007648C"/>
    <w:rsid w:val="00077737"/>
    <w:rsid w:val="0007774E"/>
    <w:rsid w:val="000814C1"/>
    <w:rsid w:val="00081994"/>
    <w:rsid w:val="00083C62"/>
    <w:rsid w:val="00084168"/>
    <w:rsid w:val="0008480A"/>
    <w:rsid w:val="000850CC"/>
    <w:rsid w:val="00085108"/>
    <w:rsid w:val="00085E78"/>
    <w:rsid w:val="000863E5"/>
    <w:rsid w:val="00090660"/>
    <w:rsid w:val="0009091E"/>
    <w:rsid w:val="00091327"/>
    <w:rsid w:val="0009203E"/>
    <w:rsid w:val="00092C55"/>
    <w:rsid w:val="00093674"/>
    <w:rsid w:val="000942E5"/>
    <w:rsid w:val="00095C20"/>
    <w:rsid w:val="00095DB2"/>
    <w:rsid w:val="00097F76"/>
    <w:rsid w:val="000A121A"/>
    <w:rsid w:val="000A13B6"/>
    <w:rsid w:val="000A1E98"/>
    <w:rsid w:val="000A7615"/>
    <w:rsid w:val="000A77D7"/>
    <w:rsid w:val="000B1747"/>
    <w:rsid w:val="000B191F"/>
    <w:rsid w:val="000B3F28"/>
    <w:rsid w:val="000B3FD5"/>
    <w:rsid w:val="000B4CBE"/>
    <w:rsid w:val="000B6193"/>
    <w:rsid w:val="000B6C85"/>
    <w:rsid w:val="000C0251"/>
    <w:rsid w:val="000C049E"/>
    <w:rsid w:val="000C100F"/>
    <w:rsid w:val="000C1994"/>
    <w:rsid w:val="000C1C51"/>
    <w:rsid w:val="000C3394"/>
    <w:rsid w:val="000C3B01"/>
    <w:rsid w:val="000C5353"/>
    <w:rsid w:val="000D0101"/>
    <w:rsid w:val="000D0F5B"/>
    <w:rsid w:val="000D2027"/>
    <w:rsid w:val="000D4665"/>
    <w:rsid w:val="000D6AF3"/>
    <w:rsid w:val="000D7913"/>
    <w:rsid w:val="000E0684"/>
    <w:rsid w:val="000E4591"/>
    <w:rsid w:val="000E4FD2"/>
    <w:rsid w:val="000E500C"/>
    <w:rsid w:val="000E6542"/>
    <w:rsid w:val="000E654D"/>
    <w:rsid w:val="000E6E96"/>
    <w:rsid w:val="000E715C"/>
    <w:rsid w:val="000E72DF"/>
    <w:rsid w:val="000F04B0"/>
    <w:rsid w:val="000F0633"/>
    <w:rsid w:val="000F3294"/>
    <w:rsid w:val="000F471C"/>
    <w:rsid w:val="000F5F71"/>
    <w:rsid w:val="000F743B"/>
    <w:rsid w:val="00100863"/>
    <w:rsid w:val="00100947"/>
    <w:rsid w:val="0010578F"/>
    <w:rsid w:val="00110180"/>
    <w:rsid w:val="00112077"/>
    <w:rsid w:val="00112511"/>
    <w:rsid w:val="00112AFD"/>
    <w:rsid w:val="00114651"/>
    <w:rsid w:val="00116087"/>
    <w:rsid w:val="001164EA"/>
    <w:rsid w:val="00116856"/>
    <w:rsid w:val="001208F9"/>
    <w:rsid w:val="00120C57"/>
    <w:rsid w:val="00122120"/>
    <w:rsid w:val="00125934"/>
    <w:rsid w:val="0012776F"/>
    <w:rsid w:val="001316D0"/>
    <w:rsid w:val="0013377F"/>
    <w:rsid w:val="00137B5F"/>
    <w:rsid w:val="00137C1B"/>
    <w:rsid w:val="00140674"/>
    <w:rsid w:val="00141E8B"/>
    <w:rsid w:val="00143C56"/>
    <w:rsid w:val="0014589B"/>
    <w:rsid w:val="00146F8C"/>
    <w:rsid w:val="0014718F"/>
    <w:rsid w:val="001471E1"/>
    <w:rsid w:val="00150478"/>
    <w:rsid w:val="00151D1C"/>
    <w:rsid w:val="0015221F"/>
    <w:rsid w:val="00152221"/>
    <w:rsid w:val="00154515"/>
    <w:rsid w:val="001560F0"/>
    <w:rsid w:val="00162CC4"/>
    <w:rsid w:val="0016444F"/>
    <w:rsid w:val="00165A73"/>
    <w:rsid w:val="00166FC7"/>
    <w:rsid w:val="0016732E"/>
    <w:rsid w:val="00170F7E"/>
    <w:rsid w:val="001739B8"/>
    <w:rsid w:val="0017686F"/>
    <w:rsid w:val="00176D96"/>
    <w:rsid w:val="00177540"/>
    <w:rsid w:val="00181EFA"/>
    <w:rsid w:val="00182E8C"/>
    <w:rsid w:val="00183417"/>
    <w:rsid w:val="00184731"/>
    <w:rsid w:val="0018512C"/>
    <w:rsid w:val="001876C0"/>
    <w:rsid w:val="00187B4B"/>
    <w:rsid w:val="00190CE0"/>
    <w:rsid w:val="00193DCB"/>
    <w:rsid w:val="0019431C"/>
    <w:rsid w:val="001966CF"/>
    <w:rsid w:val="00197A9B"/>
    <w:rsid w:val="001A1EDC"/>
    <w:rsid w:val="001A2AF5"/>
    <w:rsid w:val="001A3399"/>
    <w:rsid w:val="001A377D"/>
    <w:rsid w:val="001A5306"/>
    <w:rsid w:val="001A62EE"/>
    <w:rsid w:val="001A7607"/>
    <w:rsid w:val="001A76F9"/>
    <w:rsid w:val="001B0B88"/>
    <w:rsid w:val="001B0F7A"/>
    <w:rsid w:val="001B1050"/>
    <w:rsid w:val="001B330B"/>
    <w:rsid w:val="001B3F77"/>
    <w:rsid w:val="001B4133"/>
    <w:rsid w:val="001B4812"/>
    <w:rsid w:val="001B5BB2"/>
    <w:rsid w:val="001B5D70"/>
    <w:rsid w:val="001B761F"/>
    <w:rsid w:val="001C0025"/>
    <w:rsid w:val="001C0595"/>
    <w:rsid w:val="001C164B"/>
    <w:rsid w:val="001C4D00"/>
    <w:rsid w:val="001C597C"/>
    <w:rsid w:val="001C6FD4"/>
    <w:rsid w:val="001D14FB"/>
    <w:rsid w:val="001D2D69"/>
    <w:rsid w:val="001D2EDB"/>
    <w:rsid w:val="001D3C48"/>
    <w:rsid w:val="001D6F94"/>
    <w:rsid w:val="001E1B31"/>
    <w:rsid w:val="001E216A"/>
    <w:rsid w:val="001E2908"/>
    <w:rsid w:val="001E2ECE"/>
    <w:rsid w:val="001E32E5"/>
    <w:rsid w:val="001E74D3"/>
    <w:rsid w:val="001F0B71"/>
    <w:rsid w:val="001F29E8"/>
    <w:rsid w:val="001F5CB8"/>
    <w:rsid w:val="001F65A5"/>
    <w:rsid w:val="001F740A"/>
    <w:rsid w:val="00200B15"/>
    <w:rsid w:val="00200EBE"/>
    <w:rsid w:val="002031DE"/>
    <w:rsid w:val="00203C88"/>
    <w:rsid w:val="002061C9"/>
    <w:rsid w:val="0020653C"/>
    <w:rsid w:val="00210356"/>
    <w:rsid w:val="002108E3"/>
    <w:rsid w:val="00210F18"/>
    <w:rsid w:val="002119DF"/>
    <w:rsid w:val="0021675A"/>
    <w:rsid w:val="002179B4"/>
    <w:rsid w:val="00217D14"/>
    <w:rsid w:val="002207D7"/>
    <w:rsid w:val="00221B56"/>
    <w:rsid w:val="00221D48"/>
    <w:rsid w:val="00223A7A"/>
    <w:rsid w:val="0022693A"/>
    <w:rsid w:val="002331FE"/>
    <w:rsid w:val="00235B25"/>
    <w:rsid w:val="00240310"/>
    <w:rsid w:val="00240C65"/>
    <w:rsid w:val="00240FD4"/>
    <w:rsid w:val="00241236"/>
    <w:rsid w:val="002429A3"/>
    <w:rsid w:val="002437CE"/>
    <w:rsid w:val="00244294"/>
    <w:rsid w:val="00247CFE"/>
    <w:rsid w:val="00250D3F"/>
    <w:rsid w:val="00251E5B"/>
    <w:rsid w:val="00251FD1"/>
    <w:rsid w:val="00253A94"/>
    <w:rsid w:val="0025449C"/>
    <w:rsid w:val="00255407"/>
    <w:rsid w:val="002563AB"/>
    <w:rsid w:val="0025776B"/>
    <w:rsid w:val="00257CD1"/>
    <w:rsid w:val="00260ED2"/>
    <w:rsid w:val="0026211B"/>
    <w:rsid w:val="00263395"/>
    <w:rsid w:val="002644DB"/>
    <w:rsid w:val="002648B9"/>
    <w:rsid w:val="002649A2"/>
    <w:rsid w:val="00265C6A"/>
    <w:rsid w:val="00266EBC"/>
    <w:rsid w:val="002671FD"/>
    <w:rsid w:val="002714C1"/>
    <w:rsid w:val="00271E06"/>
    <w:rsid w:val="00271E29"/>
    <w:rsid w:val="00272EF2"/>
    <w:rsid w:val="00275563"/>
    <w:rsid w:val="002775FD"/>
    <w:rsid w:val="00280C13"/>
    <w:rsid w:val="00280DA0"/>
    <w:rsid w:val="00281E70"/>
    <w:rsid w:val="00281EB6"/>
    <w:rsid w:val="002826DE"/>
    <w:rsid w:val="00282B41"/>
    <w:rsid w:val="00282C1A"/>
    <w:rsid w:val="00282E88"/>
    <w:rsid w:val="00285837"/>
    <w:rsid w:val="002876EE"/>
    <w:rsid w:val="0029030F"/>
    <w:rsid w:val="0029056C"/>
    <w:rsid w:val="00291162"/>
    <w:rsid w:val="00291A48"/>
    <w:rsid w:val="00291B2E"/>
    <w:rsid w:val="002952C1"/>
    <w:rsid w:val="00296825"/>
    <w:rsid w:val="002970CA"/>
    <w:rsid w:val="002978A4"/>
    <w:rsid w:val="002A57BF"/>
    <w:rsid w:val="002A636B"/>
    <w:rsid w:val="002A7D01"/>
    <w:rsid w:val="002B05F0"/>
    <w:rsid w:val="002B0C79"/>
    <w:rsid w:val="002B189A"/>
    <w:rsid w:val="002B2036"/>
    <w:rsid w:val="002B3B9F"/>
    <w:rsid w:val="002B3C0D"/>
    <w:rsid w:val="002B3DD0"/>
    <w:rsid w:val="002B78BA"/>
    <w:rsid w:val="002C147D"/>
    <w:rsid w:val="002C3026"/>
    <w:rsid w:val="002C3692"/>
    <w:rsid w:val="002C4EDA"/>
    <w:rsid w:val="002C51FC"/>
    <w:rsid w:val="002C56DE"/>
    <w:rsid w:val="002C781F"/>
    <w:rsid w:val="002C791C"/>
    <w:rsid w:val="002C7C83"/>
    <w:rsid w:val="002D0D1A"/>
    <w:rsid w:val="002D1ADA"/>
    <w:rsid w:val="002D39F0"/>
    <w:rsid w:val="002D53CF"/>
    <w:rsid w:val="002D543D"/>
    <w:rsid w:val="002D7BBB"/>
    <w:rsid w:val="002D7F89"/>
    <w:rsid w:val="002E1110"/>
    <w:rsid w:val="002E4331"/>
    <w:rsid w:val="002E570E"/>
    <w:rsid w:val="002F014D"/>
    <w:rsid w:val="002F1778"/>
    <w:rsid w:val="002F28AC"/>
    <w:rsid w:val="002F299B"/>
    <w:rsid w:val="002F2B79"/>
    <w:rsid w:val="002F3063"/>
    <w:rsid w:val="002F3E95"/>
    <w:rsid w:val="002F4DB5"/>
    <w:rsid w:val="003000A0"/>
    <w:rsid w:val="003001CB"/>
    <w:rsid w:val="00300539"/>
    <w:rsid w:val="00300B2E"/>
    <w:rsid w:val="00300F87"/>
    <w:rsid w:val="003015C6"/>
    <w:rsid w:val="00302F12"/>
    <w:rsid w:val="00304AFF"/>
    <w:rsid w:val="00307C3C"/>
    <w:rsid w:val="00313BBE"/>
    <w:rsid w:val="003141F0"/>
    <w:rsid w:val="00314538"/>
    <w:rsid w:val="00314B14"/>
    <w:rsid w:val="003157AB"/>
    <w:rsid w:val="003200AB"/>
    <w:rsid w:val="003209BE"/>
    <w:rsid w:val="00320A48"/>
    <w:rsid w:val="003235CF"/>
    <w:rsid w:val="00324102"/>
    <w:rsid w:val="00325977"/>
    <w:rsid w:val="00327031"/>
    <w:rsid w:val="003270CC"/>
    <w:rsid w:val="00330131"/>
    <w:rsid w:val="003302D2"/>
    <w:rsid w:val="00332559"/>
    <w:rsid w:val="00332932"/>
    <w:rsid w:val="0033366C"/>
    <w:rsid w:val="003342E2"/>
    <w:rsid w:val="00336E56"/>
    <w:rsid w:val="003401A3"/>
    <w:rsid w:val="00345347"/>
    <w:rsid w:val="00345353"/>
    <w:rsid w:val="00346E19"/>
    <w:rsid w:val="00347E9D"/>
    <w:rsid w:val="00357D94"/>
    <w:rsid w:val="00361C9C"/>
    <w:rsid w:val="003671E6"/>
    <w:rsid w:val="003717D0"/>
    <w:rsid w:val="003726A8"/>
    <w:rsid w:val="00372CB9"/>
    <w:rsid w:val="003733EB"/>
    <w:rsid w:val="00374C1F"/>
    <w:rsid w:val="003772CB"/>
    <w:rsid w:val="003776A0"/>
    <w:rsid w:val="003800E7"/>
    <w:rsid w:val="003802C9"/>
    <w:rsid w:val="00380DEB"/>
    <w:rsid w:val="0038113D"/>
    <w:rsid w:val="00381389"/>
    <w:rsid w:val="00383FA7"/>
    <w:rsid w:val="003841D1"/>
    <w:rsid w:val="00385214"/>
    <w:rsid w:val="003861F9"/>
    <w:rsid w:val="00387096"/>
    <w:rsid w:val="00392BF4"/>
    <w:rsid w:val="00392CDD"/>
    <w:rsid w:val="0039358C"/>
    <w:rsid w:val="003938A7"/>
    <w:rsid w:val="003952AE"/>
    <w:rsid w:val="003A008D"/>
    <w:rsid w:val="003A0493"/>
    <w:rsid w:val="003A0CCC"/>
    <w:rsid w:val="003A1EAF"/>
    <w:rsid w:val="003A5465"/>
    <w:rsid w:val="003A5697"/>
    <w:rsid w:val="003A7B45"/>
    <w:rsid w:val="003B1DBB"/>
    <w:rsid w:val="003B5BE5"/>
    <w:rsid w:val="003B728E"/>
    <w:rsid w:val="003C0626"/>
    <w:rsid w:val="003C0C15"/>
    <w:rsid w:val="003C0F29"/>
    <w:rsid w:val="003C2CC6"/>
    <w:rsid w:val="003C3532"/>
    <w:rsid w:val="003C37F4"/>
    <w:rsid w:val="003C4310"/>
    <w:rsid w:val="003C48C9"/>
    <w:rsid w:val="003C629A"/>
    <w:rsid w:val="003C63A8"/>
    <w:rsid w:val="003C7D8F"/>
    <w:rsid w:val="003D2935"/>
    <w:rsid w:val="003D296E"/>
    <w:rsid w:val="003D3A1E"/>
    <w:rsid w:val="003D6797"/>
    <w:rsid w:val="003E05A6"/>
    <w:rsid w:val="003E1310"/>
    <w:rsid w:val="003E22D7"/>
    <w:rsid w:val="003E46E8"/>
    <w:rsid w:val="003E4E8C"/>
    <w:rsid w:val="003E5E2F"/>
    <w:rsid w:val="003E5FAF"/>
    <w:rsid w:val="003E6C12"/>
    <w:rsid w:val="003E7F6E"/>
    <w:rsid w:val="003F1D4B"/>
    <w:rsid w:val="003F2D99"/>
    <w:rsid w:val="003F3894"/>
    <w:rsid w:val="003F46E1"/>
    <w:rsid w:val="003F6DC0"/>
    <w:rsid w:val="0040050A"/>
    <w:rsid w:val="0040524E"/>
    <w:rsid w:val="004114F5"/>
    <w:rsid w:val="00412762"/>
    <w:rsid w:val="0041344B"/>
    <w:rsid w:val="00414D97"/>
    <w:rsid w:val="00414F6B"/>
    <w:rsid w:val="004159DA"/>
    <w:rsid w:val="00415D84"/>
    <w:rsid w:val="00420684"/>
    <w:rsid w:val="00421F69"/>
    <w:rsid w:val="00422841"/>
    <w:rsid w:val="00422A7C"/>
    <w:rsid w:val="00425462"/>
    <w:rsid w:val="00430F5C"/>
    <w:rsid w:val="004315A3"/>
    <w:rsid w:val="00431D02"/>
    <w:rsid w:val="00432785"/>
    <w:rsid w:val="00432E00"/>
    <w:rsid w:val="004332DD"/>
    <w:rsid w:val="00434C3C"/>
    <w:rsid w:val="00436C13"/>
    <w:rsid w:val="004423B7"/>
    <w:rsid w:val="00442797"/>
    <w:rsid w:val="0044344B"/>
    <w:rsid w:val="00445304"/>
    <w:rsid w:val="0044553E"/>
    <w:rsid w:val="0045030C"/>
    <w:rsid w:val="004512B3"/>
    <w:rsid w:val="00453D82"/>
    <w:rsid w:val="004556A2"/>
    <w:rsid w:val="00455C0D"/>
    <w:rsid w:val="00456BE9"/>
    <w:rsid w:val="00456CB4"/>
    <w:rsid w:val="0046034F"/>
    <w:rsid w:val="00460A81"/>
    <w:rsid w:val="00463184"/>
    <w:rsid w:val="004647F2"/>
    <w:rsid w:val="00464DFD"/>
    <w:rsid w:val="00466B0F"/>
    <w:rsid w:val="00470296"/>
    <w:rsid w:val="00471937"/>
    <w:rsid w:val="00471D0A"/>
    <w:rsid w:val="004724A1"/>
    <w:rsid w:val="00474AFB"/>
    <w:rsid w:val="00475B9C"/>
    <w:rsid w:val="00475EC3"/>
    <w:rsid w:val="004765A3"/>
    <w:rsid w:val="00485C67"/>
    <w:rsid w:val="00490E0F"/>
    <w:rsid w:val="004917A0"/>
    <w:rsid w:val="0049509C"/>
    <w:rsid w:val="004A0882"/>
    <w:rsid w:val="004A1F0E"/>
    <w:rsid w:val="004A3449"/>
    <w:rsid w:val="004A4282"/>
    <w:rsid w:val="004A6D4A"/>
    <w:rsid w:val="004A72B2"/>
    <w:rsid w:val="004B036F"/>
    <w:rsid w:val="004B0C92"/>
    <w:rsid w:val="004B1C6F"/>
    <w:rsid w:val="004B6873"/>
    <w:rsid w:val="004C19BA"/>
    <w:rsid w:val="004C7655"/>
    <w:rsid w:val="004D1A82"/>
    <w:rsid w:val="004D340E"/>
    <w:rsid w:val="004D3BB7"/>
    <w:rsid w:val="004D4A2C"/>
    <w:rsid w:val="004D5E7B"/>
    <w:rsid w:val="004D70F3"/>
    <w:rsid w:val="004D7A7E"/>
    <w:rsid w:val="004D7B74"/>
    <w:rsid w:val="004E0324"/>
    <w:rsid w:val="004E11CF"/>
    <w:rsid w:val="004E2474"/>
    <w:rsid w:val="004E3357"/>
    <w:rsid w:val="004E3801"/>
    <w:rsid w:val="004E5D86"/>
    <w:rsid w:val="004E78B2"/>
    <w:rsid w:val="004F06EC"/>
    <w:rsid w:val="004F1ECA"/>
    <w:rsid w:val="004F2274"/>
    <w:rsid w:val="004F23D6"/>
    <w:rsid w:val="004F2896"/>
    <w:rsid w:val="004F2AD4"/>
    <w:rsid w:val="004F3146"/>
    <w:rsid w:val="004F3F8F"/>
    <w:rsid w:val="004F61BF"/>
    <w:rsid w:val="004F646D"/>
    <w:rsid w:val="00501FE1"/>
    <w:rsid w:val="005053D6"/>
    <w:rsid w:val="005103BB"/>
    <w:rsid w:val="00511AB1"/>
    <w:rsid w:val="00511D69"/>
    <w:rsid w:val="005145C3"/>
    <w:rsid w:val="005148AC"/>
    <w:rsid w:val="005154BC"/>
    <w:rsid w:val="005164DC"/>
    <w:rsid w:val="00516E21"/>
    <w:rsid w:val="0051772A"/>
    <w:rsid w:val="0052008C"/>
    <w:rsid w:val="0052145D"/>
    <w:rsid w:val="005220E3"/>
    <w:rsid w:val="00522DAD"/>
    <w:rsid w:val="005234AD"/>
    <w:rsid w:val="00524014"/>
    <w:rsid w:val="00524462"/>
    <w:rsid w:val="00524723"/>
    <w:rsid w:val="0052784B"/>
    <w:rsid w:val="00527C63"/>
    <w:rsid w:val="00530140"/>
    <w:rsid w:val="00530818"/>
    <w:rsid w:val="005315EA"/>
    <w:rsid w:val="00534ABC"/>
    <w:rsid w:val="00537B3B"/>
    <w:rsid w:val="00537D3A"/>
    <w:rsid w:val="00543901"/>
    <w:rsid w:val="005468A9"/>
    <w:rsid w:val="00554DA9"/>
    <w:rsid w:val="0055707D"/>
    <w:rsid w:val="005600BE"/>
    <w:rsid w:val="00562966"/>
    <w:rsid w:val="00562CA9"/>
    <w:rsid w:val="005637EF"/>
    <w:rsid w:val="0056712D"/>
    <w:rsid w:val="005675D9"/>
    <w:rsid w:val="00567965"/>
    <w:rsid w:val="005718B8"/>
    <w:rsid w:val="00573E46"/>
    <w:rsid w:val="00573EA3"/>
    <w:rsid w:val="005759E7"/>
    <w:rsid w:val="00575FE2"/>
    <w:rsid w:val="005763B0"/>
    <w:rsid w:val="0057771B"/>
    <w:rsid w:val="00583E36"/>
    <w:rsid w:val="00584E36"/>
    <w:rsid w:val="00587307"/>
    <w:rsid w:val="005877F2"/>
    <w:rsid w:val="00591531"/>
    <w:rsid w:val="00591E66"/>
    <w:rsid w:val="005931ED"/>
    <w:rsid w:val="0059454C"/>
    <w:rsid w:val="005945D6"/>
    <w:rsid w:val="00594AC4"/>
    <w:rsid w:val="00595D4A"/>
    <w:rsid w:val="00596090"/>
    <w:rsid w:val="005971D9"/>
    <w:rsid w:val="005973FB"/>
    <w:rsid w:val="005A14C9"/>
    <w:rsid w:val="005A3687"/>
    <w:rsid w:val="005A3E7B"/>
    <w:rsid w:val="005A6C3C"/>
    <w:rsid w:val="005B02B2"/>
    <w:rsid w:val="005B2015"/>
    <w:rsid w:val="005B4AA2"/>
    <w:rsid w:val="005B5AAA"/>
    <w:rsid w:val="005B6B0C"/>
    <w:rsid w:val="005B6BF6"/>
    <w:rsid w:val="005C0026"/>
    <w:rsid w:val="005C21D5"/>
    <w:rsid w:val="005C2A3D"/>
    <w:rsid w:val="005C2AEF"/>
    <w:rsid w:val="005C3457"/>
    <w:rsid w:val="005C403B"/>
    <w:rsid w:val="005C439A"/>
    <w:rsid w:val="005C4453"/>
    <w:rsid w:val="005D01C5"/>
    <w:rsid w:val="005D1A81"/>
    <w:rsid w:val="005D5A7B"/>
    <w:rsid w:val="005E0348"/>
    <w:rsid w:val="005E2802"/>
    <w:rsid w:val="005E2DE7"/>
    <w:rsid w:val="005E3F2E"/>
    <w:rsid w:val="005F01B4"/>
    <w:rsid w:val="005F135A"/>
    <w:rsid w:val="005F3CEB"/>
    <w:rsid w:val="005F5A37"/>
    <w:rsid w:val="005F5D1C"/>
    <w:rsid w:val="005F5E2E"/>
    <w:rsid w:val="005F6647"/>
    <w:rsid w:val="005F72DF"/>
    <w:rsid w:val="0060167F"/>
    <w:rsid w:val="0060206D"/>
    <w:rsid w:val="006034C3"/>
    <w:rsid w:val="006040D1"/>
    <w:rsid w:val="00604FBF"/>
    <w:rsid w:val="0060575C"/>
    <w:rsid w:val="00607319"/>
    <w:rsid w:val="00607568"/>
    <w:rsid w:val="0061189C"/>
    <w:rsid w:val="00611F04"/>
    <w:rsid w:val="00614711"/>
    <w:rsid w:val="00615022"/>
    <w:rsid w:val="006159B0"/>
    <w:rsid w:val="006162A6"/>
    <w:rsid w:val="0061700B"/>
    <w:rsid w:val="006204AE"/>
    <w:rsid w:val="00623858"/>
    <w:rsid w:val="006260E8"/>
    <w:rsid w:val="0062730D"/>
    <w:rsid w:val="00635A00"/>
    <w:rsid w:val="00636AD6"/>
    <w:rsid w:val="0063712C"/>
    <w:rsid w:val="00640088"/>
    <w:rsid w:val="00647D1F"/>
    <w:rsid w:val="00650C32"/>
    <w:rsid w:val="00651800"/>
    <w:rsid w:val="00651A1A"/>
    <w:rsid w:val="00652C48"/>
    <w:rsid w:val="00653766"/>
    <w:rsid w:val="00654F33"/>
    <w:rsid w:val="00655502"/>
    <w:rsid w:val="00655D12"/>
    <w:rsid w:val="00656AEF"/>
    <w:rsid w:val="00657E5A"/>
    <w:rsid w:val="00657FFD"/>
    <w:rsid w:val="00660B7E"/>
    <w:rsid w:val="00663276"/>
    <w:rsid w:val="0066500E"/>
    <w:rsid w:val="00666DB5"/>
    <w:rsid w:val="006677DA"/>
    <w:rsid w:val="006729AE"/>
    <w:rsid w:val="00673B6A"/>
    <w:rsid w:val="006742B9"/>
    <w:rsid w:val="006812C7"/>
    <w:rsid w:val="0068184A"/>
    <w:rsid w:val="0068215D"/>
    <w:rsid w:val="00683C90"/>
    <w:rsid w:val="00683F4E"/>
    <w:rsid w:val="00684331"/>
    <w:rsid w:val="00684E4A"/>
    <w:rsid w:val="006852EA"/>
    <w:rsid w:val="006921A2"/>
    <w:rsid w:val="006937D8"/>
    <w:rsid w:val="00695997"/>
    <w:rsid w:val="0069647A"/>
    <w:rsid w:val="006A55E9"/>
    <w:rsid w:val="006A746C"/>
    <w:rsid w:val="006B000A"/>
    <w:rsid w:val="006B0010"/>
    <w:rsid w:val="006B06BA"/>
    <w:rsid w:val="006B1F14"/>
    <w:rsid w:val="006B2409"/>
    <w:rsid w:val="006B328D"/>
    <w:rsid w:val="006B386F"/>
    <w:rsid w:val="006C135F"/>
    <w:rsid w:val="006C1778"/>
    <w:rsid w:val="006C411A"/>
    <w:rsid w:val="006C540B"/>
    <w:rsid w:val="006C6327"/>
    <w:rsid w:val="006D0BA6"/>
    <w:rsid w:val="006D1EA0"/>
    <w:rsid w:val="006D2D12"/>
    <w:rsid w:val="006D5243"/>
    <w:rsid w:val="006D5CB7"/>
    <w:rsid w:val="006D5E9D"/>
    <w:rsid w:val="006D7046"/>
    <w:rsid w:val="006D7BF6"/>
    <w:rsid w:val="006E10FC"/>
    <w:rsid w:val="006E1655"/>
    <w:rsid w:val="006E1F12"/>
    <w:rsid w:val="006E242B"/>
    <w:rsid w:val="006E3257"/>
    <w:rsid w:val="006E3A53"/>
    <w:rsid w:val="006E4A70"/>
    <w:rsid w:val="006E595E"/>
    <w:rsid w:val="006E6751"/>
    <w:rsid w:val="006F012A"/>
    <w:rsid w:val="006F60E8"/>
    <w:rsid w:val="006F6641"/>
    <w:rsid w:val="006F6B61"/>
    <w:rsid w:val="006F7E9F"/>
    <w:rsid w:val="00701FB8"/>
    <w:rsid w:val="007020A0"/>
    <w:rsid w:val="007033B9"/>
    <w:rsid w:val="00704402"/>
    <w:rsid w:val="00704415"/>
    <w:rsid w:val="00704E47"/>
    <w:rsid w:val="007050ED"/>
    <w:rsid w:val="0070518A"/>
    <w:rsid w:val="00706FA4"/>
    <w:rsid w:val="00707B09"/>
    <w:rsid w:val="00710711"/>
    <w:rsid w:val="00710BF0"/>
    <w:rsid w:val="00711A69"/>
    <w:rsid w:val="00712150"/>
    <w:rsid w:val="00712DB3"/>
    <w:rsid w:val="00714430"/>
    <w:rsid w:val="007168D2"/>
    <w:rsid w:val="00720418"/>
    <w:rsid w:val="007218C1"/>
    <w:rsid w:val="0072282A"/>
    <w:rsid w:val="00722E9E"/>
    <w:rsid w:val="00723646"/>
    <w:rsid w:val="007258C6"/>
    <w:rsid w:val="00726375"/>
    <w:rsid w:val="007301EC"/>
    <w:rsid w:val="00730F54"/>
    <w:rsid w:val="00731060"/>
    <w:rsid w:val="0073116A"/>
    <w:rsid w:val="00732BB8"/>
    <w:rsid w:val="00733C20"/>
    <w:rsid w:val="00733EF7"/>
    <w:rsid w:val="00736141"/>
    <w:rsid w:val="007364CB"/>
    <w:rsid w:val="007417E9"/>
    <w:rsid w:val="00741D5F"/>
    <w:rsid w:val="00741FB2"/>
    <w:rsid w:val="007423D5"/>
    <w:rsid w:val="007427EB"/>
    <w:rsid w:val="00743538"/>
    <w:rsid w:val="00743B4D"/>
    <w:rsid w:val="00751490"/>
    <w:rsid w:val="00753C00"/>
    <w:rsid w:val="007578C2"/>
    <w:rsid w:val="00757AB9"/>
    <w:rsid w:val="00757C7D"/>
    <w:rsid w:val="0076021C"/>
    <w:rsid w:val="00760D47"/>
    <w:rsid w:val="007643D9"/>
    <w:rsid w:val="007649B9"/>
    <w:rsid w:val="00767105"/>
    <w:rsid w:val="00771CC3"/>
    <w:rsid w:val="007727AD"/>
    <w:rsid w:val="007736E4"/>
    <w:rsid w:val="00777496"/>
    <w:rsid w:val="00784C35"/>
    <w:rsid w:val="007869B1"/>
    <w:rsid w:val="00792BFD"/>
    <w:rsid w:val="0079318E"/>
    <w:rsid w:val="00794BEB"/>
    <w:rsid w:val="00797292"/>
    <w:rsid w:val="007A20D4"/>
    <w:rsid w:val="007A2691"/>
    <w:rsid w:val="007A347F"/>
    <w:rsid w:val="007A3D05"/>
    <w:rsid w:val="007A59A2"/>
    <w:rsid w:val="007A5C35"/>
    <w:rsid w:val="007A5E3D"/>
    <w:rsid w:val="007A643B"/>
    <w:rsid w:val="007A7287"/>
    <w:rsid w:val="007A7CB2"/>
    <w:rsid w:val="007B4C3E"/>
    <w:rsid w:val="007B59A0"/>
    <w:rsid w:val="007B6DE1"/>
    <w:rsid w:val="007B77CC"/>
    <w:rsid w:val="007B7DDC"/>
    <w:rsid w:val="007C1031"/>
    <w:rsid w:val="007C1052"/>
    <w:rsid w:val="007C1280"/>
    <w:rsid w:val="007C1FEC"/>
    <w:rsid w:val="007C36E1"/>
    <w:rsid w:val="007C4726"/>
    <w:rsid w:val="007C48C0"/>
    <w:rsid w:val="007C4D07"/>
    <w:rsid w:val="007C68A0"/>
    <w:rsid w:val="007C6955"/>
    <w:rsid w:val="007C6DA7"/>
    <w:rsid w:val="007D0594"/>
    <w:rsid w:val="007D1F79"/>
    <w:rsid w:val="007D504F"/>
    <w:rsid w:val="007D645E"/>
    <w:rsid w:val="007E2106"/>
    <w:rsid w:val="007E3512"/>
    <w:rsid w:val="007E4DD8"/>
    <w:rsid w:val="007E5587"/>
    <w:rsid w:val="007E610B"/>
    <w:rsid w:val="007F0212"/>
    <w:rsid w:val="007F0439"/>
    <w:rsid w:val="007F1498"/>
    <w:rsid w:val="007F22B8"/>
    <w:rsid w:val="007F2438"/>
    <w:rsid w:val="007F30A7"/>
    <w:rsid w:val="007F33DA"/>
    <w:rsid w:val="007F3B9E"/>
    <w:rsid w:val="007F6EC5"/>
    <w:rsid w:val="008003E7"/>
    <w:rsid w:val="00801963"/>
    <w:rsid w:val="00801B89"/>
    <w:rsid w:val="008034C2"/>
    <w:rsid w:val="008053A0"/>
    <w:rsid w:val="00806F00"/>
    <w:rsid w:val="0080704A"/>
    <w:rsid w:val="00807630"/>
    <w:rsid w:val="00811FB5"/>
    <w:rsid w:val="00812317"/>
    <w:rsid w:val="00812E89"/>
    <w:rsid w:val="00815289"/>
    <w:rsid w:val="00820613"/>
    <w:rsid w:val="0082140A"/>
    <w:rsid w:val="0082292F"/>
    <w:rsid w:val="00822BF8"/>
    <w:rsid w:val="00830EA0"/>
    <w:rsid w:val="00831D96"/>
    <w:rsid w:val="00832389"/>
    <w:rsid w:val="00833C4D"/>
    <w:rsid w:val="00833F13"/>
    <w:rsid w:val="0083494E"/>
    <w:rsid w:val="0083595A"/>
    <w:rsid w:val="00836BFF"/>
    <w:rsid w:val="00840F6C"/>
    <w:rsid w:val="00841E52"/>
    <w:rsid w:val="0084241C"/>
    <w:rsid w:val="008460AF"/>
    <w:rsid w:val="00846CB7"/>
    <w:rsid w:val="00847EFB"/>
    <w:rsid w:val="00852B1F"/>
    <w:rsid w:val="00853382"/>
    <w:rsid w:val="00854E2D"/>
    <w:rsid w:val="00855547"/>
    <w:rsid w:val="00856CDC"/>
    <w:rsid w:val="00857862"/>
    <w:rsid w:val="008607A1"/>
    <w:rsid w:val="00862807"/>
    <w:rsid w:val="008639E0"/>
    <w:rsid w:val="00865737"/>
    <w:rsid w:val="00867AF2"/>
    <w:rsid w:val="00867E71"/>
    <w:rsid w:val="00870364"/>
    <w:rsid w:val="00872503"/>
    <w:rsid w:val="008736D1"/>
    <w:rsid w:val="00874079"/>
    <w:rsid w:val="0087472D"/>
    <w:rsid w:val="00874801"/>
    <w:rsid w:val="0087494C"/>
    <w:rsid w:val="00875F9D"/>
    <w:rsid w:val="00876BCE"/>
    <w:rsid w:val="0087700C"/>
    <w:rsid w:val="00881F03"/>
    <w:rsid w:val="00882086"/>
    <w:rsid w:val="00882789"/>
    <w:rsid w:val="00882DC8"/>
    <w:rsid w:val="00884007"/>
    <w:rsid w:val="0088487E"/>
    <w:rsid w:val="008854E4"/>
    <w:rsid w:val="00887172"/>
    <w:rsid w:val="00890931"/>
    <w:rsid w:val="0089163D"/>
    <w:rsid w:val="008916B7"/>
    <w:rsid w:val="00891D48"/>
    <w:rsid w:val="008924FF"/>
    <w:rsid w:val="00895E5B"/>
    <w:rsid w:val="008965F8"/>
    <w:rsid w:val="008A01A1"/>
    <w:rsid w:val="008A0415"/>
    <w:rsid w:val="008A079E"/>
    <w:rsid w:val="008A157B"/>
    <w:rsid w:val="008A1939"/>
    <w:rsid w:val="008A1E31"/>
    <w:rsid w:val="008A1F2A"/>
    <w:rsid w:val="008A2D3A"/>
    <w:rsid w:val="008A2E7D"/>
    <w:rsid w:val="008A44CA"/>
    <w:rsid w:val="008A4D74"/>
    <w:rsid w:val="008A50F0"/>
    <w:rsid w:val="008A5407"/>
    <w:rsid w:val="008A570E"/>
    <w:rsid w:val="008A5D7C"/>
    <w:rsid w:val="008A6B99"/>
    <w:rsid w:val="008A6F4C"/>
    <w:rsid w:val="008A7257"/>
    <w:rsid w:val="008A7622"/>
    <w:rsid w:val="008A7A5E"/>
    <w:rsid w:val="008B2385"/>
    <w:rsid w:val="008B32F1"/>
    <w:rsid w:val="008B38CB"/>
    <w:rsid w:val="008B3B99"/>
    <w:rsid w:val="008B5A0F"/>
    <w:rsid w:val="008C0F2B"/>
    <w:rsid w:val="008C17AB"/>
    <w:rsid w:val="008C23BA"/>
    <w:rsid w:val="008C316D"/>
    <w:rsid w:val="008C4062"/>
    <w:rsid w:val="008C7041"/>
    <w:rsid w:val="008D134D"/>
    <w:rsid w:val="008D1747"/>
    <w:rsid w:val="008D34DA"/>
    <w:rsid w:val="008D39FD"/>
    <w:rsid w:val="008D43BA"/>
    <w:rsid w:val="008D7BFC"/>
    <w:rsid w:val="008E0BCA"/>
    <w:rsid w:val="008E17F5"/>
    <w:rsid w:val="008E23AD"/>
    <w:rsid w:val="008E3CFC"/>
    <w:rsid w:val="008E4518"/>
    <w:rsid w:val="008E4C8A"/>
    <w:rsid w:val="008E4E31"/>
    <w:rsid w:val="008E4ED1"/>
    <w:rsid w:val="008E517A"/>
    <w:rsid w:val="008F1919"/>
    <w:rsid w:val="008F2A53"/>
    <w:rsid w:val="008F30D7"/>
    <w:rsid w:val="008F376C"/>
    <w:rsid w:val="008F5B58"/>
    <w:rsid w:val="008F6446"/>
    <w:rsid w:val="00900518"/>
    <w:rsid w:val="009010D0"/>
    <w:rsid w:val="009048D8"/>
    <w:rsid w:val="00905A9C"/>
    <w:rsid w:val="00913C09"/>
    <w:rsid w:val="0091441E"/>
    <w:rsid w:val="009164D1"/>
    <w:rsid w:val="0091654D"/>
    <w:rsid w:val="00916C6D"/>
    <w:rsid w:val="00917212"/>
    <w:rsid w:val="0092060A"/>
    <w:rsid w:val="00920F74"/>
    <w:rsid w:val="00921981"/>
    <w:rsid w:val="00921D0F"/>
    <w:rsid w:val="009235A4"/>
    <w:rsid w:val="00930175"/>
    <w:rsid w:val="009301F1"/>
    <w:rsid w:val="00934989"/>
    <w:rsid w:val="00937E1B"/>
    <w:rsid w:val="00940B9E"/>
    <w:rsid w:val="00941034"/>
    <w:rsid w:val="00944734"/>
    <w:rsid w:val="009449FC"/>
    <w:rsid w:val="00946504"/>
    <w:rsid w:val="009470BC"/>
    <w:rsid w:val="00950DB0"/>
    <w:rsid w:val="0095105F"/>
    <w:rsid w:val="00951F5D"/>
    <w:rsid w:val="0095594A"/>
    <w:rsid w:val="00955977"/>
    <w:rsid w:val="009622FA"/>
    <w:rsid w:val="00962901"/>
    <w:rsid w:val="00966514"/>
    <w:rsid w:val="00967561"/>
    <w:rsid w:val="009715AD"/>
    <w:rsid w:val="009716CA"/>
    <w:rsid w:val="00971BB6"/>
    <w:rsid w:val="009736C5"/>
    <w:rsid w:val="00974193"/>
    <w:rsid w:val="00974848"/>
    <w:rsid w:val="0097522E"/>
    <w:rsid w:val="00977979"/>
    <w:rsid w:val="00980276"/>
    <w:rsid w:val="00980A38"/>
    <w:rsid w:val="00980D7B"/>
    <w:rsid w:val="0098196A"/>
    <w:rsid w:val="009826FB"/>
    <w:rsid w:val="009827AA"/>
    <w:rsid w:val="009854A6"/>
    <w:rsid w:val="00985AE9"/>
    <w:rsid w:val="0098677C"/>
    <w:rsid w:val="00986C42"/>
    <w:rsid w:val="00986C92"/>
    <w:rsid w:val="00987ADB"/>
    <w:rsid w:val="00987C16"/>
    <w:rsid w:val="0099195C"/>
    <w:rsid w:val="00994117"/>
    <w:rsid w:val="00994155"/>
    <w:rsid w:val="009948A0"/>
    <w:rsid w:val="009959FE"/>
    <w:rsid w:val="00996464"/>
    <w:rsid w:val="009967E3"/>
    <w:rsid w:val="009A25AF"/>
    <w:rsid w:val="009B18E3"/>
    <w:rsid w:val="009B37B2"/>
    <w:rsid w:val="009B66C9"/>
    <w:rsid w:val="009B7F7A"/>
    <w:rsid w:val="009C197C"/>
    <w:rsid w:val="009C3F87"/>
    <w:rsid w:val="009C54E9"/>
    <w:rsid w:val="009C56E2"/>
    <w:rsid w:val="009C6587"/>
    <w:rsid w:val="009D03E6"/>
    <w:rsid w:val="009D386A"/>
    <w:rsid w:val="009D3D02"/>
    <w:rsid w:val="009D43DD"/>
    <w:rsid w:val="009D4F5F"/>
    <w:rsid w:val="009D5D95"/>
    <w:rsid w:val="009E2430"/>
    <w:rsid w:val="009E2872"/>
    <w:rsid w:val="009E51AE"/>
    <w:rsid w:val="009E5DC2"/>
    <w:rsid w:val="009E6597"/>
    <w:rsid w:val="009E6C1A"/>
    <w:rsid w:val="009F1EB1"/>
    <w:rsid w:val="009F30A8"/>
    <w:rsid w:val="009F43F6"/>
    <w:rsid w:val="009F5503"/>
    <w:rsid w:val="009F5B30"/>
    <w:rsid w:val="009F5C3B"/>
    <w:rsid w:val="009F6AD0"/>
    <w:rsid w:val="009F6E04"/>
    <w:rsid w:val="00A01082"/>
    <w:rsid w:val="00A01AC9"/>
    <w:rsid w:val="00A040BA"/>
    <w:rsid w:val="00A04FCB"/>
    <w:rsid w:val="00A053A3"/>
    <w:rsid w:val="00A05C44"/>
    <w:rsid w:val="00A0608C"/>
    <w:rsid w:val="00A0613A"/>
    <w:rsid w:val="00A06EA1"/>
    <w:rsid w:val="00A07EC0"/>
    <w:rsid w:val="00A102B9"/>
    <w:rsid w:val="00A102FB"/>
    <w:rsid w:val="00A11CEF"/>
    <w:rsid w:val="00A128A5"/>
    <w:rsid w:val="00A1567D"/>
    <w:rsid w:val="00A2106B"/>
    <w:rsid w:val="00A2213C"/>
    <w:rsid w:val="00A22CC1"/>
    <w:rsid w:val="00A24EC1"/>
    <w:rsid w:val="00A25DFC"/>
    <w:rsid w:val="00A25F21"/>
    <w:rsid w:val="00A27503"/>
    <w:rsid w:val="00A27D35"/>
    <w:rsid w:val="00A31791"/>
    <w:rsid w:val="00A32AE1"/>
    <w:rsid w:val="00A33073"/>
    <w:rsid w:val="00A337C8"/>
    <w:rsid w:val="00A35769"/>
    <w:rsid w:val="00A36682"/>
    <w:rsid w:val="00A3778D"/>
    <w:rsid w:val="00A441A4"/>
    <w:rsid w:val="00A466AF"/>
    <w:rsid w:val="00A47194"/>
    <w:rsid w:val="00A475D9"/>
    <w:rsid w:val="00A512FD"/>
    <w:rsid w:val="00A528FB"/>
    <w:rsid w:val="00A550B6"/>
    <w:rsid w:val="00A56558"/>
    <w:rsid w:val="00A57EFE"/>
    <w:rsid w:val="00A60AD0"/>
    <w:rsid w:val="00A64A94"/>
    <w:rsid w:val="00A669BC"/>
    <w:rsid w:val="00A67A42"/>
    <w:rsid w:val="00A705C0"/>
    <w:rsid w:val="00A70902"/>
    <w:rsid w:val="00A73A64"/>
    <w:rsid w:val="00A75C14"/>
    <w:rsid w:val="00A80164"/>
    <w:rsid w:val="00A816C2"/>
    <w:rsid w:val="00A81CCE"/>
    <w:rsid w:val="00A820F9"/>
    <w:rsid w:val="00A82AA0"/>
    <w:rsid w:val="00A84E73"/>
    <w:rsid w:val="00A8795D"/>
    <w:rsid w:val="00A87BB6"/>
    <w:rsid w:val="00A90667"/>
    <w:rsid w:val="00A90E72"/>
    <w:rsid w:val="00A91D9A"/>
    <w:rsid w:val="00A9455B"/>
    <w:rsid w:val="00AA06D6"/>
    <w:rsid w:val="00AA3AB4"/>
    <w:rsid w:val="00AA5F45"/>
    <w:rsid w:val="00AA62AC"/>
    <w:rsid w:val="00AA6522"/>
    <w:rsid w:val="00AB17B0"/>
    <w:rsid w:val="00AB2105"/>
    <w:rsid w:val="00AB4AEC"/>
    <w:rsid w:val="00AB71BB"/>
    <w:rsid w:val="00AB75F6"/>
    <w:rsid w:val="00AB776A"/>
    <w:rsid w:val="00AB7FBF"/>
    <w:rsid w:val="00AC0A41"/>
    <w:rsid w:val="00AC37EA"/>
    <w:rsid w:val="00AC3BB0"/>
    <w:rsid w:val="00AC3F6E"/>
    <w:rsid w:val="00AC5423"/>
    <w:rsid w:val="00AC5DCA"/>
    <w:rsid w:val="00AC6028"/>
    <w:rsid w:val="00AD3081"/>
    <w:rsid w:val="00AD3C3D"/>
    <w:rsid w:val="00AE03D4"/>
    <w:rsid w:val="00AE15DC"/>
    <w:rsid w:val="00AE2AC8"/>
    <w:rsid w:val="00AE36A3"/>
    <w:rsid w:val="00AE3C57"/>
    <w:rsid w:val="00AE3DA0"/>
    <w:rsid w:val="00AF1B54"/>
    <w:rsid w:val="00AF1E2B"/>
    <w:rsid w:val="00AF3555"/>
    <w:rsid w:val="00AF3615"/>
    <w:rsid w:val="00AF366E"/>
    <w:rsid w:val="00AF426B"/>
    <w:rsid w:val="00AF45B6"/>
    <w:rsid w:val="00AF4746"/>
    <w:rsid w:val="00AF6444"/>
    <w:rsid w:val="00AF7DEF"/>
    <w:rsid w:val="00B0004E"/>
    <w:rsid w:val="00B0047A"/>
    <w:rsid w:val="00B00EE0"/>
    <w:rsid w:val="00B0290E"/>
    <w:rsid w:val="00B031BA"/>
    <w:rsid w:val="00B03999"/>
    <w:rsid w:val="00B05629"/>
    <w:rsid w:val="00B102B1"/>
    <w:rsid w:val="00B12A4A"/>
    <w:rsid w:val="00B12B71"/>
    <w:rsid w:val="00B13DFA"/>
    <w:rsid w:val="00B22952"/>
    <w:rsid w:val="00B23D28"/>
    <w:rsid w:val="00B27430"/>
    <w:rsid w:val="00B31241"/>
    <w:rsid w:val="00B31A3B"/>
    <w:rsid w:val="00B3437F"/>
    <w:rsid w:val="00B355E5"/>
    <w:rsid w:val="00B363D2"/>
    <w:rsid w:val="00B37249"/>
    <w:rsid w:val="00B40E3F"/>
    <w:rsid w:val="00B4207D"/>
    <w:rsid w:val="00B43243"/>
    <w:rsid w:val="00B4391A"/>
    <w:rsid w:val="00B45FD1"/>
    <w:rsid w:val="00B468B2"/>
    <w:rsid w:val="00B507B2"/>
    <w:rsid w:val="00B50AF3"/>
    <w:rsid w:val="00B5187E"/>
    <w:rsid w:val="00B5247F"/>
    <w:rsid w:val="00B53442"/>
    <w:rsid w:val="00B53DE2"/>
    <w:rsid w:val="00B55255"/>
    <w:rsid w:val="00B56CBD"/>
    <w:rsid w:val="00B60270"/>
    <w:rsid w:val="00B60C8C"/>
    <w:rsid w:val="00B612C9"/>
    <w:rsid w:val="00B615BD"/>
    <w:rsid w:val="00B62FB5"/>
    <w:rsid w:val="00B6580C"/>
    <w:rsid w:val="00B666E7"/>
    <w:rsid w:val="00B67341"/>
    <w:rsid w:val="00B67B59"/>
    <w:rsid w:val="00B67C68"/>
    <w:rsid w:val="00B67D59"/>
    <w:rsid w:val="00B7048E"/>
    <w:rsid w:val="00B72B82"/>
    <w:rsid w:val="00B73DC0"/>
    <w:rsid w:val="00B74211"/>
    <w:rsid w:val="00B74DAF"/>
    <w:rsid w:val="00B7663B"/>
    <w:rsid w:val="00B76E49"/>
    <w:rsid w:val="00B77220"/>
    <w:rsid w:val="00B77D3F"/>
    <w:rsid w:val="00B8093A"/>
    <w:rsid w:val="00B82951"/>
    <w:rsid w:val="00B8327A"/>
    <w:rsid w:val="00B83D6A"/>
    <w:rsid w:val="00B85255"/>
    <w:rsid w:val="00B87BA4"/>
    <w:rsid w:val="00B90195"/>
    <w:rsid w:val="00B90F8C"/>
    <w:rsid w:val="00B91B0B"/>
    <w:rsid w:val="00B92AFF"/>
    <w:rsid w:val="00B92DF9"/>
    <w:rsid w:val="00B95498"/>
    <w:rsid w:val="00B97D6D"/>
    <w:rsid w:val="00BA2A6E"/>
    <w:rsid w:val="00BB02D5"/>
    <w:rsid w:val="00BB09AC"/>
    <w:rsid w:val="00BB4F77"/>
    <w:rsid w:val="00BB51C8"/>
    <w:rsid w:val="00BB5D9D"/>
    <w:rsid w:val="00BC1616"/>
    <w:rsid w:val="00BC592F"/>
    <w:rsid w:val="00BC6404"/>
    <w:rsid w:val="00BD011D"/>
    <w:rsid w:val="00BD03E1"/>
    <w:rsid w:val="00BD0C1F"/>
    <w:rsid w:val="00BD31F1"/>
    <w:rsid w:val="00BD3501"/>
    <w:rsid w:val="00BD38AC"/>
    <w:rsid w:val="00BD3F3F"/>
    <w:rsid w:val="00BD5C11"/>
    <w:rsid w:val="00BE0AE6"/>
    <w:rsid w:val="00BE3516"/>
    <w:rsid w:val="00BE47CD"/>
    <w:rsid w:val="00BE742C"/>
    <w:rsid w:val="00BF2696"/>
    <w:rsid w:val="00BF4C3E"/>
    <w:rsid w:val="00BF5B63"/>
    <w:rsid w:val="00BF7040"/>
    <w:rsid w:val="00C00F99"/>
    <w:rsid w:val="00C01896"/>
    <w:rsid w:val="00C01BF3"/>
    <w:rsid w:val="00C02579"/>
    <w:rsid w:val="00C026CC"/>
    <w:rsid w:val="00C0569C"/>
    <w:rsid w:val="00C056AF"/>
    <w:rsid w:val="00C068D5"/>
    <w:rsid w:val="00C11810"/>
    <w:rsid w:val="00C1235E"/>
    <w:rsid w:val="00C13319"/>
    <w:rsid w:val="00C13F40"/>
    <w:rsid w:val="00C14F57"/>
    <w:rsid w:val="00C15E5A"/>
    <w:rsid w:val="00C17097"/>
    <w:rsid w:val="00C1720E"/>
    <w:rsid w:val="00C228E9"/>
    <w:rsid w:val="00C23337"/>
    <w:rsid w:val="00C25EBE"/>
    <w:rsid w:val="00C26CF5"/>
    <w:rsid w:val="00C26F64"/>
    <w:rsid w:val="00C27CBB"/>
    <w:rsid w:val="00C319F4"/>
    <w:rsid w:val="00C32B3A"/>
    <w:rsid w:val="00C342CD"/>
    <w:rsid w:val="00C36A37"/>
    <w:rsid w:val="00C36F9A"/>
    <w:rsid w:val="00C373A6"/>
    <w:rsid w:val="00C37507"/>
    <w:rsid w:val="00C4050C"/>
    <w:rsid w:val="00C42363"/>
    <w:rsid w:val="00C430DE"/>
    <w:rsid w:val="00C446BC"/>
    <w:rsid w:val="00C47D20"/>
    <w:rsid w:val="00C512FD"/>
    <w:rsid w:val="00C52397"/>
    <w:rsid w:val="00C54C8E"/>
    <w:rsid w:val="00C55490"/>
    <w:rsid w:val="00C57CE1"/>
    <w:rsid w:val="00C57EA0"/>
    <w:rsid w:val="00C60926"/>
    <w:rsid w:val="00C62E00"/>
    <w:rsid w:val="00C635DE"/>
    <w:rsid w:val="00C6534B"/>
    <w:rsid w:val="00C661A8"/>
    <w:rsid w:val="00C67041"/>
    <w:rsid w:val="00C679E7"/>
    <w:rsid w:val="00C70AED"/>
    <w:rsid w:val="00C712AD"/>
    <w:rsid w:val="00C7596D"/>
    <w:rsid w:val="00C76792"/>
    <w:rsid w:val="00C769EF"/>
    <w:rsid w:val="00C76BBD"/>
    <w:rsid w:val="00C772EF"/>
    <w:rsid w:val="00C81114"/>
    <w:rsid w:val="00C829E3"/>
    <w:rsid w:val="00C870B8"/>
    <w:rsid w:val="00C87CFF"/>
    <w:rsid w:val="00C903ED"/>
    <w:rsid w:val="00C922E2"/>
    <w:rsid w:val="00C923AF"/>
    <w:rsid w:val="00C92BF5"/>
    <w:rsid w:val="00C9330B"/>
    <w:rsid w:val="00C94288"/>
    <w:rsid w:val="00C94AD5"/>
    <w:rsid w:val="00C95203"/>
    <w:rsid w:val="00C96799"/>
    <w:rsid w:val="00CA2330"/>
    <w:rsid w:val="00CA43EE"/>
    <w:rsid w:val="00CA6AB6"/>
    <w:rsid w:val="00CA7854"/>
    <w:rsid w:val="00CA7E0F"/>
    <w:rsid w:val="00CB0E76"/>
    <w:rsid w:val="00CB19DE"/>
    <w:rsid w:val="00CB1AB4"/>
    <w:rsid w:val="00CB1C4E"/>
    <w:rsid w:val="00CB1D8D"/>
    <w:rsid w:val="00CB1F6D"/>
    <w:rsid w:val="00CB31DB"/>
    <w:rsid w:val="00CB3F6B"/>
    <w:rsid w:val="00CB4D00"/>
    <w:rsid w:val="00CC0EA9"/>
    <w:rsid w:val="00CC1E67"/>
    <w:rsid w:val="00CC1EE0"/>
    <w:rsid w:val="00CC2B42"/>
    <w:rsid w:val="00CC2D50"/>
    <w:rsid w:val="00CC33DE"/>
    <w:rsid w:val="00CC44EF"/>
    <w:rsid w:val="00CC64A3"/>
    <w:rsid w:val="00CC73B9"/>
    <w:rsid w:val="00CC788E"/>
    <w:rsid w:val="00CC7C3F"/>
    <w:rsid w:val="00CD0C23"/>
    <w:rsid w:val="00CD2F06"/>
    <w:rsid w:val="00CD4183"/>
    <w:rsid w:val="00CD4A72"/>
    <w:rsid w:val="00CD6D10"/>
    <w:rsid w:val="00CE21C7"/>
    <w:rsid w:val="00CE49BD"/>
    <w:rsid w:val="00CE5A52"/>
    <w:rsid w:val="00CE78B3"/>
    <w:rsid w:val="00CE7A56"/>
    <w:rsid w:val="00CE7D83"/>
    <w:rsid w:val="00CF08B4"/>
    <w:rsid w:val="00CF0DE8"/>
    <w:rsid w:val="00CF1550"/>
    <w:rsid w:val="00CF3405"/>
    <w:rsid w:val="00D02FC6"/>
    <w:rsid w:val="00D0552A"/>
    <w:rsid w:val="00D10993"/>
    <w:rsid w:val="00D1273D"/>
    <w:rsid w:val="00D130C1"/>
    <w:rsid w:val="00D13192"/>
    <w:rsid w:val="00D13481"/>
    <w:rsid w:val="00D13DE0"/>
    <w:rsid w:val="00D176D8"/>
    <w:rsid w:val="00D177A4"/>
    <w:rsid w:val="00D208EE"/>
    <w:rsid w:val="00D20985"/>
    <w:rsid w:val="00D224FD"/>
    <w:rsid w:val="00D232F9"/>
    <w:rsid w:val="00D30063"/>
    <w:rsid w:val="00D34DF7"/>
    <w:rsid w:val="00D364A7"/>
    <w:rsid w:val="00D4148D"/>
    <w:rsid w:val="00D41A25"/>
    <w:rsid w:val="00D4300B"/>
    <w:rsid w:val="00D439A4"/>
    <w:rsid w:val="00D43DCA"/>
    <w:rsid w:val="00D43E13"/>
    <w:rsid w:val="00D52AB0"/>
    <w:rsid w:val="00D52B3A"/>
    <w:rsid w:val="00D54386"/>
    <w:rsid w:val="00D549E4"/>
    <w:rsid w:val="00D54D12"/>
    <w:rsid w:val="00D56031"/>
    <w:rsid w:val="00D56A01"/>
    <w:rsid w:val="00D64827"/>
    <w:rsid w:val="00D6494C"/>
    <w:rsid w:val="00D6605C"/>
    <w:rsid w:val="00D661E2"/>
    <w:rsid w:val="00D67323"/>
    <w:rsid w:val="00D70744"/>
    <w:rsid w:val="00D707E0"/>
    <w:rsid w:val="00D70B0D"/>
    <w:rsid w:val="00D70CF0"/>
    <w:rsid w:val="00D71C09"/>
    <w:rsid w:val="00D76753"/>
    <w:rsid w:val="00D7693E"/>
    <w:rsid w:val="00D84E3F"/>
    <w:rsid w:val="00D86BC7"/>
    <w:rsid w:val="00D87E51"/>
    <w:rsid w:val="00D94B78"/>
    <w:rsid w:val="00D94DC4"/>
    <w:rsid w:val="00D95339"/>
    <w:rsid w:val="00D9591C"/>
    <w:rsid w:val="00D961DB"/>
    <w:rsid w:val="00DA1E5B"/>
    <w:rsid w:val="00DA2C1B"/>
    <w:rsid w:val="00DA4223"/>
    <w:rsid w:val="00DA4AE0"/>
    <w:rsid w:val="00DA53A4"/>
    <w:rsid w:val="00DA5565"/>
    <w:rsid w:val="00DA5943"/>
    <w:rsid w:val="00DA62D2"/>
    <w:rsid w:val="00DA6BB9"/>
    <w:rsid w:val="00DB2AA4"/>
    <w:rsid w:val="00DB3D33"/>
    <w:rsid w:val="00DB4F99"/>
    <w:rsid w:val="00DB7D62"/>
    <w:rsid w:val="00DC1C64"/>
    <w:rsid w:val="00DC29D2"/>
    <w:rsid w:val="00DC39D5"/>
    <w:rsid w:val="00DC4F20"/>
    <w:rsid w:val="00DC676F"/>
    <w:rsid w:val="00DC6929"/>
    <w:rsid w:val="00DC7A61"/>
    <w:rsid w:val="00DD08F8"/>
    <w:rsid w:val="00DD0A8C"/>
    <w:rsid w:val="00DD0CD2"/>
    <w:rsid w:val="00DD0D4E"/>
    <w:rsid w:val="00DD35E4"/>
    <w:rsid w:val="00DD3E27"/>
    <w:rsid w:val="00DD3ECE"/>
    <w:rsid w:val="00DD507D"/>
    <w:rsid w:val="00DD5168"/>
    <w:rsid w:val="00DE1494"/>
    <w:rsid w:val="00DE1D5F"/>
    <w:rsid w:val="00DE30E2"/>
    <w:rsid w:val="00DE4530"/>
    <w:rsid w:val="00DE5C1C"/>
    <w:rsid w:val="00DE663F"/>
    <w:rsid w:val="00DF0CFC"/>
    <w:rsid w:val="00DF12E7"/>
    <w:rsid w:val="00DF3207"/>
    <w:rsid w:val="00DF402F"/>
    <w:rsid w:val="00DF620A"/>
    <w:rsid w:val="00DF723E"/>
    <w:rsid w:val="00DF78C4"/>
    <w:rsid w:val="00DF7BA6"/>
    <w:rsid w:val="00E0016D"/>
    <w:rsid w:val="00E0068C"/>
    <w:rsid w:val="00E0094F"/>
    <w:rsid w:val="00E00F9F"/>
    <w:rsid w:val="00E01541"/>
    <w:rsid w:val="00E02584"/>
    <w:rsid w:val="00E02917"/>
    <w:rsid w:val="00E03CE6"/>
    <w:rsid w:val="00E03EE6"/>
    <w:rsid w:val="00E04279"/>
    <w:rsid w:val="00E05A8B"/>
    <w:rsid w:val="00E05AA0"/>
    <w:rsid w:val="00E06E52"/>
    <w:rsid w:val="00E07CBB"/>
    <w:rsid w:val="00E12A2D"/>
    <w:rsid w:val="00E1404B"/>
    <w:rsid w:val="00E143C3"/>
    <w:rsid w:val="00E15A9E"/>
    <w:rsid w:val="00E15CA0"/>
    <w:rsid w:val="00E167BF"/>
    <w:rsid w:val="00E16D91"/>
    <w:rsid w:val="00E16DCE"/>
    <w:rsid w:val="00E20022"/>
    <w:rsid w:val="00E20A9A"/>
    <w:rsid w:val="00E215F3"/>
    <w:rsid w:val="00E21927"/>
    <w:rsid w:val="00E230D6"/>
    <w:rsid w:val="00E25CDE"/>
    <w:rsid w:val="00E260F5"/>
    <w:rsid w:val="00E2626D"/>
    <w:rsid w:val="00E267F2"/>
    <w:rsid w:val="00E304EE"/>
    <w:rsid w:val="00E308E0"/>
    <w:rsid w:val="00E30D48"/>
    <w:rsid w:val="00E31033"/>
    <w:rsid w:val="00E31115"/>
    <w:rsid w:val="00E32564"/>
    <w:rsid w:val="00E326F1"/>
    <w:rsid w:val="00E33D40"/>
    <w:rsid w:val="00E345DF"/>
    <w:rsid w:val="00E37605"/>
    <w:rsid w:val="00E40481"/>
    <w:rsid w:val="00E40658"/>
    <w:rsid w:val="00E41FC7"/>
    <w:rsid w:val="00E421FA"/>
    <w:rsid w:val="00E4223E"/>
    <w:rsid w:val="00E42B74"/>
    <w:rsid w:val="00E42BB7"/>
    <w:rsid w:val="00E45742"/>
    <w:rsid w:val="00E461F9"/>
    <w:rsid w:val="00E46402"/>
    <w:rsid w:val="00E46467"/>
    <w:rsid w:val="00E46CDC"/>
    <w:rsid w:val="00E50502"/>
    <w:rsid w:val="00E50DFA"/>
    <w:rsid w:val="00E50EDE"/>
    <w:rsid w:val="00E520E7"/>
    <w:rsid w:val="00E52DBD"/>
    <w:rsid w:val="00E5320B"/>
    <w:rsid w:val="00E5575F"/>
    <w:rsid w:val="00E62D03"/>
    <w:rsid w:val="00E6389E"/>
    <w:rsid w:val="00E647F7"/>
    <w:rsid w:val="00E64DA5"/>
    <w:rsid w:val="00E705DD"/>
    <w:rsid w:val="00E70A44"/>
    <w:rsid w:val="00E70B14"/>
    <w:rsid w:val="00E71F86"/>
    <w:rsid w:val="00E73A38"/>
    <w:rsid w:val="00E74161"/>
    <w:rsid w:val="00E744EC"/>
    <w:rsid w:val="00E7609B"/>
    <w:rsid w:val="00E76A95"/>
    <w:rsid w:val="00E80992"/>
    <w:rsid w:val="00E81C16"/>
    <w:rsid w:val="00E8313E"/>
    <w:rsid w:val="00E842D3"/>
    <w:rsid w:val="00E87005"/>
    <w:rsid w:val="00E873CC"/>
    <w:rsid w:val="00E87C16"/>
    <w:rsid w:val="00E90259"/>
    <w:rsid w:val="00E90D08"/>
    <w:rsid w:val="00E91B6B"/>
    <w:rsid w:val="00E94AB1"/>
    <w:rsid w:val="00E96810"/>
    <w:rsid w:val="00E96DB3"/>
    <w:rsid w:val="00E9786A"/>
    <w:rsid w:val="00EA03F4"/>
    <w:rsid w:val="00EA4289"/>
    <w:rsid w:val="00EA4B20"/>
    <w:rsid w:val="00EA77D8"/>
    <w:rsid w:val="00EB0201"/>
    <w:rsid w:val="00EB2B09"/>
    <w:rsid w:val="00EB2E3A"/>
    <w:rsid w:val="00EB4873"/>
    <w:rsid w:val="00EB5195"/>
    <w:rsid w:val="00EB5C14"/>
    <w:rsid w:val="00EB6C86"/>
    <w:rsid w:val="00EC0AED"/>
    <w:rsid w:val="00EC3283"/>
    <w:rsid w:val="00EC516E"/>
    <w:rsid w:val="00EC566F"/>
    <w:rsid w:val="00EC5EEC"/>
    <w:rsid w:val="00EC6223"/>
    <w:rsid w:val="00ED109C"/>
    <w:rsid w:val="00ED11D4"/>
    <w:rsid w:val="00ED36D6"/>
    <w:rsid w:val="00ED427C"/>
    <w:rsid w:val="00ED544A"/>
    <w:rsid w:val="00EE123E"/>
    <w:rsid w:val="00EE18EB"/>
    <w:rsid w:val="00EE3A39"/>
    <w:rsid w:val="00EE3D99"/>
    <w:rsid w:val="00EE509A"/>
    <w:rsid w:val="00EE578E"/>
    <w:rsid w:val="00EE7322"/>
    <w:rsid w:val="00EF28E4"/>
    <w:rsid w:val="00EF2C57"/>
    <w:rsid w:val="00EF4945"/>
    <w:rsid w:val="00F002DC"/>
    <w:rsid w:val="00F0088B"/>
    <w:rsid w:val="00F03AA8"/>
    <w:rsid w:val="00F040AE"/>
    <w:rsid w:val="00F057CE"/>
    <w:rsid w:val="00F078F7"/>
    <w:rsid w:val="00F07FC9"/>
    <w:rsid w:val="00F10E0F"/>
    <w:rsid w:val="00F1180A"/>
    <w:rsid w:val="00F12EFB"/>
    <w:rsid w:val="00F13C57"/>
    <w:rsid w:val="00F1655C"/>
    <w:rsid w:val="00F2100E"/>
    <w:rsid w:val="00F2123A"/>
    <w:rsid w:val="00F22349"/>
    <w:rsid w:val="00F23DC8"/>
    <w:rsid w:val="00F246AD"/>
    <w:rsid w:val="00F25F12"/>
    <w:rsid w:val="00F27822"/>
    <w:rsid w:val="00F32117"/>
    <w:rsid w:val="00F3309D"/>
    <w:rsid w:val="00F3322C"/>
    <w:rsid w:val="00F33E6C"/>
    <w:rsid w:val="00F33E8C"/>
    <w:rsid w:val="00F35DE9"/>
    <w:rsid w:val="00F3652F"/>
    <w:rsid w:val="00F377D3"/>
    <w:rsid w:val="00F41294"/>
    <w:rsid w:val="00F42478"/>
    <w:rsid w:val="00F43E23"/>
    <w:rsid w:val="00F43EAE"/>
    <w:rsid w:val="00F44C24"/>
    <w:rsid w:val="00F45043"/>
    <w:rsid w:val="00F50D2A"/>
    <w:rsid w:val="00F5410A"/>
    <w:rsid w:val="00F55801"/>
    <w:rsid w:val="00F56C55"/>
    <w:rsid w:val="00F5715D"/>
    <w:rsid w:val="00F6234C"/>
    <w:rsid w:val="00F642E9"/>
    <w:rsid w:val="00F67F11"/>
    <w:rsid w:val="00F72155"/>
    <w:rsid w:val="00F7312C"/>
    <w:rsid w:val="00F73B75"/>
    <w:rsid w:val="00F769A8"/>
    <w:rsid w:val="00F770B9"/>
    <w:rsid w:val="00F804B8"/>
    <w:rsid w:val="00F8107D"/>
    <w:rsid w:val="00F81369"/>
    <w:rsid w:val="00F8141B"/>
    <w:rsid w:val="00F816E2"/>
    <w:rsid w:val="00F81820"/>
    <w:rsid w:val="00F8380F"/>
    <w:rsid w:val="00F85490"/>
    <w:rsid w:val="00F8599A"/>
    <w:rsid w:val="00F860C3"/>
    <w:rsid w:val="00F8772D"/>
    <w:rsid w:val="00F87CC4"/>
    <w:rsid w:val="00F87DDD"/>
    <w:rsid w:val="00F90854"/>
    <w:rsid w:val="00F92230"/>
    <w:rsid w:val="00F93614"/>
    <w:rsid w:val="00F93A51"/>
    <w:rsid w:val="00F93BD3"/>
    <w:rsid w:val="00F94439"/>
    <w:rsid w:val="00F95909"/>
    <w:rsid w:val="00F96595"/>
    <w:rsid w:val="00F97A32"/>
    <w:rsid w:val="00FA114A"/>
    <w:rsid w:val="00FA1C1D"/>
    <w:rsid w:val="00FA4DDC"/>
    <w:rsid w:val="00FA60A6"/>
    <w:rsid w:val="00FA62E0"/>
    <w:rsid w:val="00FA78EC"/>
    <w:rsid w:val="00FA7CEF"/>
    <w:rsid w:val="00FB066B"/>
    <w:rsid w:val="00FB4858"/>
    <w:rsid w:val="00FB6513"/>
    <w:rsid w:val="00FB7A98"/>
    <w:rsid w:val="00FC1167"/>
    <w:rsid w:val="00FC1916"/>
    <w:rsid w:val="00FC2507"/>
    <w:rsid w:val="00FC31DA"/>
    <w:rsid w:val="00FC5FB6"/>
    <w:rsid w:val="00FC6CEB"/>
    <w:rsid w:val="00FC6DBA"/>
    <w:rsid w:val="00FC749C"/>
    <w:rsid w:val="00FC7E9A"/>
    <w:rsid w:val="00FD1DDF"/>
    <w:rsid w:val="00FD37B3"/>
    <w:rsid w:val="00FD40B6"/>
    <w:rsid w:val="00FD62F0"/>
    <w:rsid w:val="00FD6E1C"/>
    <w:rsid w:val="00FD7A6E"/>
    <w:rsid w:val="00FE0E2B"/>
    <w:rsid w:val="00FE2256"/>
    <w:rsid w:val="00FE353B"/>
    <w:rsid w:val="00FE3BA8"/>
    <w:rsid w:val="00FE3DC9"/>
    <w:rsid w:val="00FE6537"/>
    <w:rsid w:val="00FF0D01"/>
    <w:rsid w:val="00FF17B5"/>
    <w:rsid w:val="00FF302B"/>
    <w:rsid w:val="00FF474E"/>
    <w:rsid w:val="00FF50FD"/>
    <w:rsid w:val="2D8C6897"/>
    <w:rsid w:val="72F68D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5649EC"/>
  <w15:docId w15:val="{1E61C87C-1A0E-44CA-A209-2B0243F1F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414042"/>
        <w:sz w:val="24"/>
        <w:szCs w:val="24"/>
        <w:lang w:val="en-GB" w:eastAsia="en-US" w:bidi="ar-SA"/>
      </w:rPr>
    </w:rPrDefault>
    <w:pPrDefault>
      <w:pPr>
        <w:spacing w:before="240" w:after="240" w:line="288" w:lineRule="auto"/>
      </w:pPr>
    </w:pPrDefault>
  </w:docDefaults>
  <w:latentStyles w:defLockedState="1" w:defUIPriority="99" w:defSemiHidden="0" w:defUnhideWhenUsed="0" w:defQFormat="0" w:count="376">
    <w:lsdException w:name="Normal" w:locked="0" w:uiPriority="5" w:qFormat="1"/>
    <w:lsdException w:name="heading 1" w:locked="0" w:uiPriority="0" w:qFormat="1"/>
    <w:lsdException w:name="heading 2" w:locked="0" w:semiHidden="1" w:uiPriority="1" w:unhideWhenUsed="1" w:qFormat="1"/>
    <w:lsdException w:name="heading 3" w:locked="0" w:semiHidden="1" w:uiPriority="2" w:unhideWhenUsed="1" w:qFormat="1"/>
    <w:lsdException w:name="heading 4" w:locked="0" w:semiHidden="1" w:uiPriority="3"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semiHidden="1" w:uiPriority="39" w:unhideWhenUsed="1"/>
    <w:lsdException w:name="toc 2" w:locked="0" w:semiHidden="1" w:uiPriority="39" w:unhideWhenUsed="1"/>
    <w:lsdException w:name="toc 3" w:locked="0"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0" w:semiHidden="1" w:unhideWhenUsed="1"/>
    <w:lsdException w:name="footnote text" w:locked="0" w:semiHidden="1" w:uiPriority="13" w:unhideWhenUsed="1"/>
    <w:lsdException w:name="annotation text" w:locked="0" w:semiHidden="1" w:unhideWhenUsed="1"/>
    <w:lsdException w:name="header" w:locked="0" w:semiHidden="1" w:uiPriority="10" w:unhideWhenUsed="1"/>
    <w:lsdException w:name="footer" w:locked="0" w:semiHidden="1" w:uiPriority="10" w:unhideWhenUsed="1"/>
    <w:lsdException w:name="index heading" w:semiHidden="1"/>
    <w:lsdException w:name="caption" w:locked="0" w:semiHidden="1" w:uiPriority="9" w:unhideWhenUsed="1"/>
    <w:lsdException w:name="table of figures" w:locked="0" w:semiHidden="1" w:unhideWhenUsed="1"/>
    <w:lsdException w:name="envelope address" w:semiHidden="1" w:unhideWhenUsed="1"/>
    <w:lsdException w:name="envelope return" w:semiHidden="1" w:unhideWhenUsed="1"/>
    <w:lsdException w:name="footnote reference" w:locked="0" w:semiHidden="1" w:uiPriority="13"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semiHidden="1" w:unhideWhenUsed="1"/>
    <w:lsdException w:name="List Bullet" w:locked="0" w:semiHidden="1" w:uiPriority="7" w:unhideWhenUsed="1" w:qFormat="1"/>
    <w:lsdException w:name="List Number" w:locked="0" w:semiHidden="1" w:uiPriority="6"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semiHidden="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10"/>
    <w:lsdException w:name="Emphasis" w:locked="0" w:semiHidden="1"/>
    <w:lsdException w:name="Document Map" w:locked="0" w:semiHidden="1" w:unhideWhenUsed="1"/>
    <w:lsdException w:name="Plain Text"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uiPriority="5"/>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6"/>
    <w:lsdException w:name="Quote" w:locked="0" w:uiPriority="8" w:qFormat="1"/>
    <w:lsdException w:name="Medium List 2 Accent 1" w:uiPriority="66"/>
    <w:lsdException w:name="Medium Grid 1 Accent 1" w:uiPriority="67"/>
    <w:lsdException w:name="Medium Grid 2 Accent 1" w:uiPriority="68"/>
    <w:lsdException w:name="Medium Grid 3 Accent 1"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semiHidden="1"/>
    <w:lsdException w:name="Subtle Reference" w:semiHidden="1"/>
    <w:lsdException w:name="Book Title" w:semiHidden="1"/>
    <w:lsdException w:name="Bibliography" w:semiHidden="1"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locked="0" w:uiPriority="49"/>
    <w:lsdException w:name="Grid Table 5 Dark" w:locked="0" w:uiPriority="50"/>
    <w:lsdException w:name="Grid Table 6 Colorful" w:locked="0"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locked="0" w:uiPriority="49"/>
    <w:lsdException w:name="Grid Table 5 Dark Accent 1" w:locked="0" w:uiPriority="50"/>
    <w:lsdException w:name="Grid Table 6 Colorful Accent 1" w:locked="0"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locked="0" w:uiPriority="49"/>
    <w:lsdException w:name="Grid Table 5 Dark Accent 2" w:locked="0" w:uiPriority="50"/>
    <w:lsdException w:name="Grid Table 6 Colorful Accent 2" w:locked="0"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locked="0" w:uiPriority="49"/>
    <w:lsdException w:name="Grid Table 5 Dark Accent 3" w:locked="0" w:uiPriority="50"/>
    <w:lsdException w:name="Grid Table 6 Colorful Accent 3" w:locked="0"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locked="0" w:uiPriority="49"/>
    <w:lsdException w:name="Grid Table 5 Dark Accent 4" w:locked="0" w:uiPriority="50"/>
    <w:lsdException w:name="Grid Table 6 Colorful Accent 4" w:locked="0"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locked="0" w:uiPriority="49"/>
    <w:lsdException w:name="Grid Table 5 Dark Accent 5" w:locked="0" w:uiPriority="50"/>
    <w:lsdException w:name="Grid Table 6 Colorful Accent 5" w:locked="0"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locked="0" w:uiPriority="49"/>
    <w:lsdException w:name="Grid Table 5 Dark Accent 6" w:locked="0" w:uiPriority="50"/>
    <w:lsdException w:name="Grid Table 6 Colorful Accent 6" w:locked="0" w:uiPriority="51"/>
    <w:lsdException w:name="Grid Table 7 Colorful Accent 6" w:uiPriority="52"/>
    <w:lsdException w:name="List Table 1 Light" w:locked="0" w:uiPriority="46"/>
    <w:lsdException w:name="List Table 2" w:locked="0"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locked="0" w:uiPriority="46"/>
    <w:lsdException w:name="List Table 2 Accent 1" w:locked="0"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locked="0" w:uiPriority="46"/>
    <w:lsdException w:name="List Table 2 Accent 2" w:locked="0"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locked="0" w:uiPriority="46"/>
    <w:lsdException w:name="List Table 2 Accent 3" w:locked="0"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locked="0" w:uiPriority="46"/>
    <w:lsdException w:name="List Table 2 Accent 4" w:locked="0"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locked="0" w:uiPriority="46"/>
    <w:lsdException w:name="List Table 2 Accent 5" w:locked="0"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0" w:uiPriority="46"/>
    <w:lsdException w:name="List Table 2 Accent 6" w:locked="0"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locked="0" w:semiHidden="1" w:unhideWhenUsed="1"/>
    <w:lsdException w:name="Unresolved Mention" w:locked="0" w:semiHidden="1" w:unhideWhenUsed="1"/>
    <w:lsdException w:name="Smart Link" w:semiHidden="1" w:unhideWhenUsed="1"/>
  </w:latentStyles>
  <w:style w:type="paragraph" w:default="1" w:styleId="Normal">
    <w:name w:val="Normal"/>
    <w:uiPriority w:val="5"/>
    <w:qFormat/>
    <w:rsid w:val="00C26F64"/>
    <w:pPr>
      <w:spacing w:before="120"/>
    </w:pPr>
    <w:rPr>
      <w:color w:val="auto"/>
    </w:rPr>
  </w:style>
  <w:style w:type="paragraph" w:styleId="Heading1">
    <w:name w:val="heading 1"/>
    <w:next w:val="Normal"/>
    <w:link w:val="Heading1Char"/>
    <w:autoRedefine/>
    <w:qFormat/>
    <w:rsid w:val="009F43F6"/>
    <w:pPr>
      <w:keepNext/>
      <w:spacing w:before="0"/>
      <w:outlineLvl w:val="0"/>
    </w:pPr>
    <w:rPr>
      <w:rFonts w:ascii="Aptos" w:eastAsia="Times New Roman" w:hAnsi="Aptos" w:cs="Times New Roman"/>
      <w:b/>
      <w:color w:val="auto"/>
      <w:lang w:eastAsia="en-GB"/>
    </w:rPr>
  </w:style>
  <w:style w:type="paragraph" w:styleId="Heading2">
    <w:name w:val="heading 2"/>
    <w:next w:val="Numbered-paragraph-text"/>
    <w:link w:val="Heading2Char"/>
    <w:autoRedefine/>
    <w:uiPriority w:val="1"/>
    <w:qFormat/>
    <w:rsid w:val="00683F4E"/>
    <w:pPr>
      <w:keepNext/>
      <w:keepLines/>
      <w:spacing w:after="120"/>
      <w:outlineLvl w:val="1"/>
    </w:pPr>
    <w:rPr>
      <w:rFonts w:asciiTheme="majorHAnsi" w:eastAsiaTheme="majorEastAsia" w:hAnsiTheme="majorHAnsi" w:cstheme="majorBidi"/>
      <w:b/>
      <w:bCs/>
      <w:color w:val="auto"/>
      <w:sz w:val="28"/>
      <w:szCs w:val="26"/>
    </w:rPr>
  </w:style>
  <w:style w:type="paragraph" w:styleId="Heading3">
    <w:name w:val="heading 3"/>
    <w:next w:val="Numbered-paragraph-text"/>
    <w:link w:val="Heading3Char"/>
    <w:autoRedefine/>
    <w:uiPriority w:val="2"/>
    <w:qFormat/>
    <w:rsid w:val="00683F4E"/>
    <w:pPr>
      <w:pBdr>
        <w:bottom w:val="single" w:sz="6" w:space="1" w:color="auto"/>
      </w:pBdr>
      <w:spacing w:after="0"/>
      <w:outlineLvl w:val="2"/>
    </w:pPr>
    <w:rPr>
      <w:rFonts w:asciiTheme="majorHAnsi" w:hAnsiTheme="majorHAnsi"/>
      <w:b/>
      <w:color w:val="auto"/>
    </w:rPr>
  </w:style>
  <w:style w:type="paragraph" w:styleId="Heading4">
    <w:name w:val="heading 4"/>
    <w:next w:val="Numbered-paragraph-text"/>
    <w:link w:val="Heading4Char"/>
    <w:autoRedefine/>
    <w:uiPriority w:val="3"/>
    <w:qFormat/>
    <w:rsid w:val="00683F4E"/>
    <w:pPr>
      <w:keepNext/>
      <w:keepLines/>
      <w:spacing w:after="0"/>
      <w:outlineLvl w:val="3"/>
    </w:pPr>
    <w:rPr>
      <w:rFonts w:asciiTheme="majorHAnsi" w:eastAsiaTheme="majorEastAsia" w:hAnsiTheme="majorHAnsi" w:cstheme="majorBidi"/>
      <w:b/>
      <w:iCs/>
      <w:color w:val="auto"/>
    </w:rPr>
  </w:style>
  <w:style w:type="paragraph" w:styleId="Heading5">
    <w:name w:val="heading 5"/>
    <w:basedOn w:val="Normal"/>
    <w:next w:val="Normal"/>
    <w:link w:val="Heading5Char"/>
    <w:uiPriority w:val="99"/>
    <w:semiHidden/>
    <w:qFormat/>
    <w:locked/>
    <w:rsid w:val="000B3F28"/>
    <w:pPr>
      <w:keepNext/>
      <w:keepLines/>
      <w:spacing w:before="4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9"/>
    <w:semiHidden/>
    <w:qFormat/>
    <w:locked/>
    <w:rsid w:val="000B3F28"/>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9"/>
    <w:semiHidden/>
    <w:qFormat/>
    <w:locked/>
    <w:rsid w:val="000B3F28"/>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9"/>
    <w:semiHidden/>
    <w:qFormat/>
    <w:locked/>
    <w:rsid w:val="000B3F28"/>
    <w:pPr>
      <w:keepNext/>
      <w:keepLines/>
      <w:spacing w:before="40" w:after="0"/>
      <w:outlineLvl w:val="7"/>
    </w:pPr>
    <w:rPr>
      <w:rFonts w:asciiTheme="majorHAnsi" w:eastAsiaTheme="majorEastAsia" w:hAnsiTheme="majorHAnsi" w:cstheme="majorBidi"/>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F43F6"/>
    <w:rPr>
      <w:rFonts w:ascii="Aptos" w:eastAsia="Times New Roman" w:hAnsi="Aptos" w:cs="Times New Roman"/>
      <w:b/>
      <w:color w:val="auto"/>
      <w:lang w:eastAsia="en-GB"/>
    </w:rPr>
  </w:style>
  <w:style w:type="paragraph" w:styleId="TOCHeading">
    <w:name w:val="TOC Heading"/>
    <w:next w:val="Normal"/>
    <w:autoRedefine/>
    <w:qFormat/>
    <w:rsid w:val="00683F4E"/>
    <w:pPr>
      <w:keepLines/>
      <w:pageBreakBefore/>
      <w:spacing w:before="0" w:after="360"/>
    </w:pPr>
    <w:rPr>
      <w:rFonts w:asciiTheme="majorHAnsi" w:eastAsia="Times New Roman" w:hAnsiTheme="majorHAnsi" w:cs="Times New Roman"/>
      <w:color w:val="auto"/>
      <w:sz w:val="40"/>
      <w:lang w:val="en-US" w:eastAsia="ja-JP"/>
    </w:rPr>
  </w:style>
  <w:style w:type="paragraph" w:styleId="TOC1">
    <w:name w:val="toc 1"/>
    <w:next w:val="Normal"/>
    <w:autoRedefine/>
    <w:uiPriority w:val="39"/>
    <w:unhideWhenUsed/>
    <w:rsid w:val="000B3F28"/>
    <w:pPr>
      <w:tabs>
        <w:tab w:val="left" w:pos="709"/>
        <w:tab w:val="right" w:leader="dot" w:pos="9639"/>
      </w:tabs>
      <w:spacing w:before="120" w:after="120"/>
    </w:pPr>
    <w:rPr>
      <w:rFonts w:asciiTheme="majorHAnsi" w:hAnsiTheme="majorHAnsi"/>
      <w:b/>
      <w:noProof/>
      <w:sz w:val="28"/>
    </w:rPr>
  </w:style>
  <w:style w:type="character" w:styleId="Hyperlink">
    <w:name w:val="Hyperlink"/>
    <w:uiPriority w:val="99"/>
    <w:rsid w:val="000B3F28"/>
    <w:rPr>
      <w:rFonts w:asciiTheme="majorHAnsi" w:hAnsiTheme="majorHAnsi"/>
      <w:b/>
      <w:color w:val="757578"/>
      <w:u w:val="dotted" w:color="53565A"/>
    </w:rPr>
  </w:style>
  <w:style w:type="paragraph" w:styleId="BalloonText">
    <w:name w:val="Balloon Text"/>
    <w:basedOn w:val="Normal"/>
    <w:link w:val="BalloonTextChar"/>
    <w:uiPriority w:val="99"/>
    <w:semiHidden/>
    <w:unhideWhenUsed/>
    <w:locked/>
    <w:rsid w:val="000B3F28"/>
    <w:rPr>
      <w:rFonts w:cs="Tahoma"/>
      <w:sz w:val="16"/>
      <w:szCs w:val="16"/>
    </w:rPr>
  </w:style>
  <w:style w:type="character" w:customStyle="1" w:styleId="BalloonTextChar">
    <w:name w:val="Balloon Text Char"/>
    <w:basedOn w:val="DefaultParagraphFont"/>
    <w:link w:val="BalloonText"/>
    <w:uiPriority w:val="99"/>
    <w:semiHidden/>
    <w:rsid w:val="000B3F28"/>
    <w:rPr>
      <w:rFonts w:cs="Tahoma"/>
      <w:sz w:val="16"/>
      <w:szCs w:val="16"/>
    </w:rPr>
  </w:style>
  <w:style w:type="character" w:customStyle="1" w:styleId="Heading2Char">
    <w:name w:val="Heading 2 Char"/>
    <w:basedOn w:val="DefaultParagraphFont"/>
    <w:link w:val="Heading2"/>
    <w:uiPriority w:val="1"/>
    <w:rsid w:val="00683F4E"/>
    <w:rPr>
      <w:rFonts w:asciiTheme="majorHAnsi" w:eastAsiaTheme="majorEastAsia" w:hAnsiTheme="majorHAnsi" w:cstheme="majorBidi"/>
      <w:b/>
      <w:bCs/>
      <w:color w:val="auto"/>
      <w:sz w:val="28"/>
      <w:szCs w:val="26"/>
    </w:rPr>
  </w:style>
  <w:style w:type="character" w:customStyle="1" w:styleId="Heading3Char">
    <w:name w:val="Heading 3 Char"/>
    <w:basedOn w:val="DefaultParagraphFont"/>
    <w:link w:val="Heading3"/>
    <w:uiPriority w:val="2"/>
    <w:rsid w:val="00683F4E"/>
    <w:rPr>
      <w:rFonts w:asciiTheme="majorHAnsi" w:hAnsiTheme="majorHAnsi"/>
      <w:b/>
      <w:color w:val="auto"/>
    </w:rPr>
  </w:style>
  <w:style w:type="paragraph" w:styleId="TOC2">
    <w:name w:val="toc 2"/>
    <w:basedOn w:val="Normal"/>
    <w:next w:val="Normal"/>
    <w:link w:val="TOC2Char"/>
    <w:autoRedefine/>
    <w:uiPriority w:val="39"/>
    <w:unhideWhenUsed/>
    <w:rsid w:val="000B3F28"/>
    <w:pPr>
      <w:tabs>
        <w:tab w:val="right" w:leader="dot" w:pos="9639"/>
      </w:tabs>
      <w:spacing w:after="120"/>
      <w:ind w:left="709"/>
    </w:pPr>
    <w:rPr>
      <w:noProof/>
      <w:color w:val="3C3C3E"/>
      <w:lang w:eastAsia="en-GB"/>
    </w:rPr>
  </w:style>
  <w:style w:type="paragraph" w:styleId="List">
    <w:name w:val="List"/>
    <w:basedOn w:val="Normal"/>
    <w:uiPriority w:val="99"/>
    <w:semiHidden/>
    <w:locked/>
    <w:rsid w:val="000B3F28"/>
    <w:pPr>
      <w:numPr>
        <w:numId w:val="12"/>
      </w:numPr>
    </w:pPr>
    <w:rPr>
      <w:rFonts w:eastAsia="Lucida Sans" w:cs="Times New Roman"/>
      <w:color w:val="2D2D2C" w:themeColor="text1"/>
    </w:rPr>
  </w:style>
  <w:style w:type="table" w:styleId="TableGrid">
    <w:name w:val="Table Grid"/>
    <w:basedOn w:val="TableNormal"/>
    <w:uiPriority w:val="59"/>
    <w:rsid w:val="000B3F28"/>
    <w:pPr>
      <w:spacing w:before="80" w:after="8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link w:val="HeaderChar"/>
    <w:uiPriority w:val="10"/>
    <w:rsid w:val="00683F4E"/>
    <w:pPr>
      <w:pBdr>
        <w:bottom w:val="single" w:sz="4" w:space="8" w:color="E7333F"/>
      </w:pBdr>
      <w:tabs>
        <w:tab w:val="center" w:pos="4513"/>
        <w:tab w:val="right" w:pos="9026"/>
      </w:tabs>
      <w:spacing w:before="0" w:after="0"/>
    </w:pPr>
    <w:rPr>
      <w:color w:val="auto"/>
      <w:sz w:val="20"/>
    </w:rPr>
  </w:style>
  <w:style w:type="character" w:customStyle="1" w:styleId="HeaderChar">
    <w:name w:val="Header Char"/>
    <w:basedOn w:val="DefaultParagraphFont"/>
    <w:link w:val="Header"/>
    <w:uiPriority w:val="10"/>
    <w:rsid w:val="00683F4E"/>
    <w:rPr>
      <w:color w:val="auto"/>
      <w:sz w:val="20"/>
    </w:rPr>
  </w:style>
  <w:style w:type="paragraph" w:styleId="Footer">
    <w:name w:val="footer"/>
    <w:link w:val="FooterChar"/>
    <w:autoRedefine/>
    <w:uiPriority w:val="10"/>
    <w:rsid w:val="000B3F28"/>
    <w:pPr>
      <w:pBdr>
        <w:top w:val="single" w:sz="4" w:space="8" w:color="E7333F"/>
      </w:pBdr>
      <w:tabs>
        <w:tab w:val="center" w:pos="4513"/>
        <w:tab w:val="right" w:pos="9026"/>
      </w:tabs>
      <w:spacing w:before="0" w:after="0" w:line="240" w:lineRule="auto"/>
      <w:jc w:val="center"/>
    </w:pPr>
    <w:rPr>
      <w:sz w:val="20"/>
    </w:rPr>
  </w:style>
  <w:style w:type="character" w:customStyle="1" w:styleId="FooterChar">
    <w:name w:val="Footer Char"/>
    <w:basedOn w:val="DefaultParagraphFont"/>
    <w:link w:val="Footer"/>
    <w:uiPriority w:val="10"/>
    <w:rsid w:val="000B3F28"/>
    <w:rPr>
      <w:sz w:val="20"/>
    </w:rPr>
  </w:style>
  <w:style w:type="paragraph" w:customStyle="1" w:styleId="Numbered-paragraph-text">
    <w:name w:val="Numbered-paragraph-text"/>
    <w:autoRedefine/>
    <w:uiPriority w:val="5"/>
    <w:qFormat/>
    <w:rsid w:val="00683F4E"/>
    <w:pPr>
      <w:numPr>
        <w:numId w:val="3"/>
      </w:numPr>
      <w:tabs>
        <w:tab w:val="right" w:pos="567"/>
      </w:tabs>
      <w:spacing w:before="120"/>
      <w:ind w:left="0" w:firstLine="0"/>
      <w:textboxTightWrap w:val="firstLineOnly"/>
    </w:pPr>
    <w:rPr>
      <w:color w:val="auto"/>
    </w:rPr>
  </w:style>
  <w:style w:type="paragraph" w:styleId="BlockText">
    <w:name w:val="Block Text"/>
    <w:basedOn w:val="Normal"/>
    <w:uiPriority w:val="99"/>
    <w:semiHidden/>
    <w:unhideWhenUsed/>
    <w:locked/>
    <w:rsid w:val="000B3F28"/>
    <w:pPr>
      <w:pBdr>
        <w:top w:val="single" w:sz="2" w:space="10" w:color="1A2A57"/>
        <w:left w:val="single" w:sz="2" w:space="10" w:color="1A2A57"/>
        <w:bottom w:val="single" w:sz="2" w:space="10" w:color="1A2A57"/>
        <w:right w:val="single" w:sz="2" w:space="10" w:color="1A2A57"/>
      </w:pBdr>
      <w:ind w:left="1152" w:right="1152"/>
    </w:pPr>
    <w:rPr>
      <w:rFonts w:eastAsiaTheme="minorEastAsia"/>
      <w:i/>
      <w:iCs/>
      <w:color w:val="1A2A57"/>
    </w:rPr>
  </w:style>
  <w:style w:type="paragraph" w:styleId="TableofFigures">
    <w:name w:val="table of figures"/>
    <w:next w:val="Normal"/>
    <w:uiPriority w:val="99"/>
    <w:rsid w:val="000B3F28"/>
    <w:pPr>
      <w:tabs>
        <w:tab w:val="left" w:pos="0"/>
        <w:tab w:val="right" w:leader="dot" w:pos="9639"/>
      </w:tabs>
    </w:pPr>
    <w:rPr>
      <w:rFonts w:asciiTheme="majorHAnsi" w:hAnsiTheme="majorHAnsi"/>
    </w:rPr>
  </w:style>
  <w:style w:type="paragraph" w:styleId="ListNumber">
    <w:name w:val="List Number"/>
    <w:autoRedefine/>
    <w:uiPriority w:val="6"/>
    <w:qFormat/>
    <w:rsid w:val="00683F4E"/>
    <w:pPr>
      <w:numPr>
        <w:numId w:val="2"/>
      </w:numPr>
    </w:pPr>
    <w:rPr>
      <w:color w:val="auto"/>
      <w:lang w:eastAsia="en-GB"/>
    </w:rPr>
  </w:style>
  <w:style w:type="character" w:styleId="FollowedHyperlink">
    <w:name w:val="FollowedHyperlink"/>
    <w:uiPriority w:val="99"/>
    <w:locked/>
    <w:rsid w:val="000B3F28"/>
    <w:rPr>
      <w:rFonts w:asciiTheme="minorHAnsi" w:hAnsiTheme="minorHAnsi"/>
      <w:b/>
      <w:color w:val="757578"/>
      <w:u w:val="dotted" w:color="53565A"/>
    </w:rPr>
  </w:style>
  <w:style w:type="character" w:styleId="FootnoteReference">
    <w:name w:val="footnote reference"/>
    <w:uiPriority w:val="13"/>
    <w:rsid w:val="000B3F28"/>
    <w:rPr>
      <w:rFonts w:ascii="Segoe UI" w:hAnsi="Segoe UI"/>
      <w:b w:val="0"/>
      <w:color w:val="6D6E71"/>
      <w:sz w:val="20"/>
      <w:vertAlign w:val="superscript"/>
    </w:rPr>
  </w:style>
  <w:style w:type="paragraph" w:styleId="FootnoteText">
    <w:name w:val="footnote text"/>
    <w:link w:val="FootnoteTextChar"/>
    <w:uiPriority w:val="13"/>
    <w:rsid w:val="000B3F28"/>
    <w:pPr>
      <w:spacing w:before="60" w:after="60" w:line="264" w:lineRule="auto"/>
    </w:pPr>
    <w:rPr>
      <w:color w:val="4C4C4E"/>
      <w:sz w:val="20"/>
      <w:szCs w:val="20"/>
    </w:rPr>
  </w:style>
  <w:style w:type="character" w:customStyle="1" w:styleId="FootnoteTextChar">
    <w:name w:val="Footnote Text Char"/>
    <w:basedOn w:val="DefaultParagraphFont"/>
    <w:link w:val="FootnoteText"/>
    <w:uiPriority w:val="13"/>
    <w:rsid w:val="000B3F28"/>
    <w:rPr>
      <w:color w:val="4C4C4E"/>
      <w:sz w:val="20"/>
      <w:szCs w:val="20"/>
    </w:rPr>
  </w:style>
  <w:style w:type="paragraph" w:styleId="ListParagraph">
    <w:name w:val="List Paragraph"/>
    <w:basedOn w:val="Normal"/>
    <w:autoRedefine/>
    <w:uiPriority w:val="6"/>
    <w:rsid w:val="009F43F6"/>
    <w:pPr>
      <w:spacing w:before="0" w:after="0"/>
      <w:ind w:left="718" w:hanging="360"/>
      <w:contextualSpacing/>
    </w:pPr>
    <w:rPr>
      <w:b/>
      <w:bCs/>
      <w:u w:val="single"/>
    </w:rPr>
  </w:style>
  <w:style w:type="paragraph" w:styleId="ListBullet">
    <w:name w:val="List Bullet"/>
    <w:link w:val="ListBulletChar"/>
    <w:autoRedefine/>
    <w:uiPriority w:val="6"/>
    <w:qFormat/>
    <w:rsid w:val="00683F4E"/>
    <w:pPr>
      <w:numPr>
        <w:numId w:val="15"/>
      </w:numPr>
    </w:pPr>
    <w:rPr>
      <w:rFonts w:eastAsia="Lucida Sans" w:cs="Times New Roman"/>
      <w:color w:val="auto"/>
      <w:lang w:eastAsia="en-GB"/>
    </w:rPr>
  </w:style>
  <w:style w:type="paragraph" w:styleId="List2">
    <w:name w:val="List 2"/>
    <w:basedOn w:val="Normal"/>
    <w:autoRedefine/>
    <w:uiPriority w:val="99"/>
    <w:semiHidden/>
    <w:locked/>
    <w:rsid w:val="000B3F28"/>
    <w:pPr>
      <w:ind w:left="1134" w:hanging="567"/>
    </w:pPr>
    <w:rPr>
      <w:rFonts w:eastAsia="Lucida Sans" w:cs="Times New Roman"/>
    </w:rPr>
  </w:style>
  <w:style w:type="paragraph" w:styleId="List3">
    <w:name w:val="List 3"/>
    <w:basedOn w:val="Normal"/>
    <w:autoRedefine/>
    <w:uiPriority w:val="99"/>
    <w:semiHidden/>
    <w:locked/>
    <w:rsid w:val="000B3F28"/>
    <w:pPr>
      <w:ind w:left="1134" w:hanging="567"/>
    </w:pPr>
    <w:rPr>
      <w:rFonts w:eastAsia="Lucida Sans" w:cs="Times New Roman"/>
    </w:rPr>
  </w:style>
  <w:style w:type="paragraph" w:styleId="List4">
    <w:name w:val="List 4"/>
    <w:basedOn w:val="Normal"/>
    <w:autoRedefine/>
    <w:uiPriority w:val="99"/>
    <w:semiHidden/>
    <w:locked/>
    <w:rsid w:val="000B3F28"/>
    <w:pPr>
      <w:ind w:left="1134" w:hanging="567"/>
    </w:pPr>
    <w:rPr>
      <w:rFonts w:eastAsia="Lucida Sans" w:cs="Times New Roman"/>
    </w:rPr>
  </w:style>
  <w:style w:type="paragraph" w:styleId="List5">
    <w:name w:val="List 5"/>
    <w:basedOn w:val="Normal"/>
    <w:autoRedefine/>
    <w:uiPriority w:val="99"/>
    <w:semiHidden/>
    <w:locked/>
    <w:rsid w:val="000B3F28"/>
    <w:pPr>
      <w:ind w:left="1134" w:hanging="567"/>
    </w:pPr>
    <w:rPr>
      <w:rFonts w:eastAsia="Lucida Sans" w:cs="Times New Roman"/>
    </w:rPr>
  </w:style>
  <w:style w:type="paragraph" w:styleId="ListBullet2">
    <w:name w:val="List Bullet 2"/>
    <w:basedOn w:val="Normal"/>
    <w:autoRedefine/>
    <w:uiPriority w:val="99"/>
    <w:semiHidden/>
    <w:locked/>
    <w:rsid w:val="000B3F28"/>
    <w:pPr>
      <w:ind w:left="1134" w:hanging="567"/>
    </w:pPr>
    <w:rPr>
      <w:rFonts w:eastAsia="Lucida Sans" w:cs="Times New Roman"/>
    </w:rPr>
  </w:style>
  <w:style w:type="paragraph" w:styleId="ListBullet3">
    <w:name w:val="List Bullet 3"/>
    <w:basedOn w:val="Normal"/>
    <w:autoRedefine/>
    <w:uiPriority w:val="99"/>
    <w:semiHidden/>
    <w:locked/>
    <w:rsid w:val="000B3F28"/>
    <w:pPr>
      <w:ind w:left="1134" w:hanging="567"/>
    </w:pPr>
    <w:rPr>
      <w:rFonts w:eastAsia="Lucida Sans" w:cs="Times New Roman"/>
    </w:rPr>
  </w:style>
  <w:style w:type="paragraph" w:styleId="ListBullet4">
    <w:name w:val="List Bullet 4"/>
    <w:basedOn w:val="Normal"/>
    <w:autoRedefine/>
    <w:uiPriority w:val="99"/>
    <w:semiHidden/>
    <w:locked/>
    <w:rsid w:val="000B3F28"/>
    <w:pPr>
      <w:ind w:left="1134" w:hanging="567"/>
    </w:pPr>
    <w:rPr>
      <w:rFonts w:eastAsia="Lucida Sans" w:cs="Times New Roman"/>
    </w:rPr>
  </w:style>
  <w:style w:type="paragraph" w:styleId="ListBullet5">
    <w:name w:val="List Bullet 5"/>
    <w:basedOn w:val="Normal"/>
    <w:autoRedefine/>
    <w:uiPriority w:val="99"/>
    <w:semiHidden/>
    <w:locked/>
    <w:rsid w:val="000B3F28"/>
    <w:pPr>
      <w:ind w:left="1134" w:hanging="567"/>
    </w:pPr>
    <w:rPr>
      <w:rFonts w:eastAsia="Lucida Sans" w:cs="Times New Roman"/>
    </w:rPr>
  </w:style>
  <w:style w:type="paragraph" w:styleId="ListContinue">
    <w:name w:val="List Continue"/>
    <w:basedOn w:val="Normal"/>
    <w:autoRedefine/>
    <w:uiPriority w:val="99"/>
    <w:semiHidden/>
    <w:locked/>
    <w:rsid w:val="000B3F28"/>
    <w:pPr>
      <w:ind w:left="1134" w:hanging="567"/>
    </w:pPr>
    <w:rPr>
      <w:rFonts w:eastAsia="Lucida Sans" w:cs="Times New Roman"/>
    </w:rPr>
  </w:style>
  <w:style w:type="paragraph" w:styleId="ListContinue2">
    <w:name w:val="List Continue 2"/>
    <w:basedOn w:val="Normal"/>
    <w:autoRedefine/>
    <w:uiPriority w:val="99"/>
    <w:semiHidden/>
    <w:locked/>
    <w:rsid w:val="000B3F28"/>
    <w:pPr>
      <w:ind w:left="1134" w:hanging="567"/>
    </w:pPr>
    <w:rPr>
      <w:rFonts w:eastAsia="Lucida Sans" w:cs="Times New Roman"/>
    </w:rPr>
  </w:style>
  <w:style w:type="paragraph" w:styleId="ListContinue3">
    <w:name w:val="List Continue 3"/>
    <w:basedOn w:val="Normal"/>
    <w:autoRedefine/>
    <w:uiPriority w:val="99"/>
    <w:semiHidden/>
    <w:locked/>
    <w:rsid w:val="000B3F28"/>
    <w:pPr>
      <w:ind w:left="1134" w:hanging="567"/>
    </w:pPr>
    <w:rPr>
      <w:rFonts w:eastAsia="Lucida Sans" w:cs="Times New Roman"/>
    </w:rPr>
  </w:style>
  <w:style w:type="paragraph" w:styleId="ListContinue4">
    <w:name w:val="List Continue 4"/>
    <w:basedOn w:val="Normal"/>
    <w:autoRedefine/>
    <w:uiPriority w:val="99"/>
    <w:semiHidden/>
    <w:locked/>
    <w:rsid w:val="000B3F28"/>
    <w:pPr>
      <w:ind w:left="1134" w:hanging="567"/>
    </w:pPr>
    <w:rPr>
      <w:rFonts w:eastAsia="Lucida Sans" w:cs="Times New Roman"/>
    </w:rPr>
  </w:style>
  <w:style w:type="paragraph" w:styleId="ListContinue5">
    <w:name w:val="List Continue 5"/>
    <w:basedOn w:val="Normal"/>
    <w:autoRedefine/>
    <w:uiPriority w:val="99"/>
    <w:semiHidden/>
    <w:locked/>
    <w:rsid w:val="000B3F28"/>
    <w:pPr>
      <w:ind w:left="1134" w:hanging="567"/>
    </w:pPr>
    <w:rPr>
      <w:rFonts w:eastAsia="Lucida Sans" w:cs="Times New Roman"/>
    </w:rPr>
  </w:style>
  <w:style w:type="numbering" w:styleId="1ai">
    <w:name w:val="Outline List 1"/>
    <w:basedOn w:val="NoList"/>
    <w:uiPriority w:val="99"/>
    <w:semiHidden/>
    <w:unhideWhenUsed/>
    <w:locked/>
    <w:rsid w:val="000B3F28"/>
    <w:pPr>
      <w:numPr>
        <w:numId w:val="4"/>
      </w:numPr>
    </w:pPr>
  </w:style>
  <w:style w:type="paragraph" w:customStyle="1" w:styleId="Recommendation">
    <w:name w:val="Recommendation"/>
    <w:autoRedefine/>
    <w:uiPriority w:val="7"/>
    <w:qFormat/>
    <w:rsid w:val="000B3F28"/>
    <w:pPr>
      <w:numPr>
        <w:numId w:val="24"/>
      </w:numPr>
      <w:spacing w:before="0"/>
    </w:pPr>
  </w:style>
  <w:style w:type="paragraph" w:customStyle="1" w:styleId="TableofFiguresbullet">
    <w:name w:val="Table of Figures bullet"/>
    <w:uiPriority w:val="11"/>
    <w:rsid w:val="000B3F28"/>
    <w:pPr>
      <w:tabs>
        <w:tab w:val="right" w:leader="dot" w:pos="9639"/>
      </w:tabs>
      <w:ind w:left="1702" w:hanging="851"/>
    </w:pPr>
    <w:rPr>
      <w:rFonts w:asciiTheme="majorHAnsi" w:hAnsiTheme="majorHAnsi"/>
      <w:noProof/>
    </w:rPr>
  </w:style>
  <w:style w:type="paragraph" w:customStyle="1" w:styleId="Conclusion">
    <w:name w:val="Conclusion"/>
    <w:autoRedefine/>
    <w:uiPriority w:val="7"/>
    <w:qFormat/>
    <w:rsid w:val="000B3F28"/>
    <w:pPr>
      <w:numPr>
        <w:numId w:val="26"/>
      </w:numPr>
      <w:spacing w:before="0"/>
    </w:pPr>
    <w:rPr>
      <w:rFonts w:cs="Segoe UI"/>
    </w:rPr>
  </w:style>
  <w:style w:type="table" w:styleId="TableGridLight">
    <w:name w:val="Grid Table Light"/>
    <w:basedOn w:val="TableNormal"/>
    <w:uiPriority w:val="40"/>
    <w:locked/>
    <w:rsid w:val="000B3F28"/>
    <w:pPr>
      <w:spacing w:before="80" w:after="8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locked/>
    <w:rsid w:val="000B3F28"/>
  </w:style>
  <w:style w:type="paragraph" w:styleId="Caption">
    <w:name w:val="caption"/>
    <w:next w:val="Normal"/>
    <w:autoRedefine/>
    <w:uiPriority w:val="9"/>
    <w:rsid w:val="000B3F28"/>
    <w:pPr>
      <w:spacing w:before="120" w:after="120"/>
    </w:pPr>
    <w:rPr>
      <w:rFonts w:asciiTheme="majorHAnsi" w:hAnsiTheme="majorHAnsi"/>
      <w:b/>
      <w:i/>
      <w:iCs/>
      <w:sz w:val="20"/>
      <w:szCs w:val="18"/>
    </w:rPr>
  </w:style>
  <w:style w:type="paragraph" w:customStyle="1" w:styleId="Cover-1">
    <w:name w:val="Cover-1"/>
    <w:next w:val="Normal"/>
    <w:uiPriority w:val="29"/>
    <w:rsid w:val="000B3F28"/>
    <w:pPr>
      <w:spacing w:before="0" w:after="0" w:line="240" w:lineRule="auto"/>
    </w:pPr>
    <w:rPr>
      <w:color w:val="FFFFFF"/>
    </w:rPr>
  </w:style>
  <w:style w:type="paragraph" w:customStyle="1" w:styleId="Cover-2">
    <w:name w:val="Cover-2"/>
    <w:uiPriority w:val="29"/>
    <w:rsid w:val="000B3F28"/>
    <w:pPr>
      <w:pBdr>
        <w:bottom w:val="single" w:sz="12" w:space="14" w:color="FFFFFF"/>
      </w:pBdr>
      <w:spacing w:before="0" w:after="120" w:line="240" w:lineRule="auto"/>
    </w:pPr>
    <w:rPr>
      <w:rFonts w:asciiTheme="majorHAnsi" w:hAnsiTheme="majorHAnsi"/>
      <w:b/>
      <w:color w:val="FFFFFF"/>
    </w:rPr>
  </w:style>
  <w:style w:type="paragraph" w:customStyle="1" w:styleId="Intro-paragraph">
    <w:name w:val="Intro-paragraph"/>
    <w:next w:val="Normal"/>
    <w:autoRedefine/>
    <w:uiPriority w:val="4"/>
    <w:qFormat/>
    <w:rsid w:val="00683F4E"/>
    <w:pPr>
      <w:spacing w:before="0" w:after="360"/>
    </w:pPr>
    <w:rPr>
      <w:color w:val="auto"/>
      <w:sz w:val="36"/>
    </w:rPr>
  </w:style>
  <w:style w:type="paragraph" w:styleId="Quote">
    <w:name w:val="Quote"/>
    <w:basedOn w:val="Normal"/>
    <w:next w:val="Normal"/>
    <w:link w:val="QuoteChar"/>
    <w:autoRedefine/>
    <w:uiPriority w:val="8"/>
    <w:qFormat/>
    <w:rsid w:val="000B3F28"/>
    <w:pPr>
      <w:numPr>
        <w:numId w:val="34"/>
      </w:numPr>
      <w:spacing w:before="200" w:after="160"/>
      <w:ind w:right="864"/>
    </w:pPr>
    <w:rPr>
      <w:i/>
      <w:iCs/>
    </w:rPr>
  </w:style>
  <w:style w:type="character" w:styleId="CommentReference">
    <w:name w:val="annotation reference"/>
    <w:basedOn w:val="DefaultParagraphFont"/>
    <w:uiPriority w:val="99"/>
    <w:semiHidden/>
    <w:unhideWhenUsed/>
    <w:rsid w:val="000B3F28"/>
    <w:rPr>
      <w:sz w:val="16"/>
      <w:szCs w:val="16"/>
    </w:rPr>
  </w:style>
  <w:style w:type="paragraph" w:styleId="CommentText">
    <w:name w:val="annotation text"/>
    <w:basedOn w:val="Normal"/>
    <w:link w:val="CommentTextChar"/>
    <w:uiPriority w:val="99"/>
    <w:unhideWhenUsed/>
    <w:rsid w:val="000B3F28"/>
    <w:pPr>
      <w:spacing w:line="240" w:lineRule="auto"/>
    </w:pPr>
    <w:rPr>
      <w:sz w:val="20"/>
      <w:szCs w:val="20"/>
    </w:rPr>
  </w:style>
  <w:style w:type="character" w:customStyle="1" w:styleId="CommentTextChar">
    <w:name w:val="Comment Text Char"/>
    <w:basedOn w:val="DefaultParagraphFont"/>
    <w:link w:val="CommentText"/>
    <w:uiPriority w:val="99"/>
    <w:rsid w:val="000B3F28"/>
    <w:rPr>
      <w:sz w:val="20"/>
      <w:szCs w:val="20"/>
    </w:rPr>
  </w:style>
  <w:style w:type="paragraph" w:styleId="CommentSubject">
    <w:name w:val="annotation subject"/>
    <w:basedOn w:val="CommentText"/>
    <w:next w:val="CommentText"/>
    <w:link w:val="CommentSubjectChar"/>
    <w:uiPriority w:val="99"/>
    <w:semiHidden/>
    <w:unhideWhenUsed/>
    <w:rsid w:val="000B3F28"/>
    <w:rPr>
      <w:b/>
      <w:bCs/>
    </w:rPr>
  </w:style>
  <w:style w:type="character" w:customStyle="1" w:styleId="CommentSubjectChar">
    <w:name w:val="Comment Subject Char"/>
    <w:basedOn w:val="CommentTextChar"/>
    <w:link w:val="CommentSubject"/>
    <w:uiPriority w:val="99"/>
    <w:semiHidden/>
    <w:rsid w:val="000B3F28"/>
    <w:rPr>
      <w:b/>
      <w:bCs/>
      <w:sz w:val="20"/>
      <w:szCs w:val="20"/>
    </w:rPr>
  </w:style>
  <w:style w:type="paragraph" w:styleId="Revision">
    <w:name w:val="Revision"/>
    <w:hidden/>
    <w:uiPriority w:val="99"/>
    <w:semiHidden/>
    <w:rsid w:val="000B3F28"/>
    <w:pPr>
      <w:spacing w:after="0" w:line="240" w:lineRule="auto"/>
    </w:pPr>
  </w:style>
  <w:style w:type="character" w:customStyle="1" w:styleId="QuoteChar">
    <w:name w:val="Quote Char"/>
    <w:basedOn w:val="DefaultParagraphFont"/>
    <w:link w:val="Quote"/>
    <w:uiPriority w:val="8"/>
    <w:rsid w:val="000B3F28"/>
    <w:rPr>
      <w:i/>
      <w:iCs/>
    </w:rPr>
  </w:style>
  <w:style w:type="table" w:styleId="PlainTable4">
    <w:name w:val="Plain Table 4"/>
    <w:basedOn w:val="TableNormal"/>
    <w:uiPriority w:val="44"/>
    <w:rsid w:val="000B3F28"/>
    <w:pPr>
      <w:spacing w:before="80" w:after="80" w:line="240" w:lineRule="auto"/>
    </w:pPr>
    <w:tblPr>
      <w:tblStyleRowBandSize w:val="1"/>
      <w:tblStyleColBandSize w:val="1"/>
    </w:tblPr>
    <w:tblStylePr w:type="firstRow">
      <w:rPr>
        <w:rFonts w:asciiTheme="majorHAnsi" w:hAnsiTheme="majorHAnsi"/>
        <w:b/>
        <w:bCs/>
      </w:rPr>
    </w:tblStylePr>
    <w:tblStylePr w:type="lastRow">
      <w:rPr>
        <w:rFonts w:asciiTheme="majorHAnsi" w:hAnsiTheme="majorHAnsi"/>
        <w:b/>
        <w:bCs/>
      </w:r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styleId="111111">
    <w:name w:val="Outline List 2"/>
    <w:basedOn w:val="NoList"/>
    <w:uiPriority w:val="99"/>
    <w:semiHidden/>
    <w:unhideWhenUsed/>
    <w:locked/>
    <w:rsid w:val="000B3F28"/>
    <w:pPr>
      <w:numPr>
        <w:numId w:val="6"/>
      </w:numPr>
    </w:pPr>
  </w:style>
  <w:style w:type="paragraph" w:styleId="TOAHeading">
    <w:name w:val="toa heading"/>
    <w:basedOn w:val="Normal"/>
    <w:next w:val="Normal"/>
    <w:uiPriority w:val="99"/>
    <w:semiHidden/>
    <w:unhideWhenUsed/>
    <w:rsid w:val="000B3F28"/>
    <w:rPr>
      <w:rFonts w:asciiTheme="majorHAnsi" w:eastAsiaTheme="majorEastAsia" w:hAnsiTheme="majorHAnsi" w:cstheme="majorBidi"/>
      <w:b/>
      <w:bCs/>
    </w:rPr>
  </w:style>
  <w:style w:type="paragraph" w:customStyle="1" w:styleId="Cover-4">
    <w:name w:val="Cover-4"/>
    <w:uiPriority w:val="29"/>
    <w:rsid w:val="000B3F28"/>
    <w:pPr>
      <w:spacing w:before="0" w:after="360" w:line="264" w:lineRule="auto"/>
    </w:pPr>
    <w:rPr>
      <w:rFonts w:eastAsia="Times New Roman" w:cs="Times New Roman"/>
      <w:color w:val="FFFFFF"/>
      <w:sz w:val="60"/>
      <w:lang w:eastAsia="en-GB"/>
    </w:rPr>
  </w:style>
  <w:style w:type="paragraph" w:customStyle="1" w:styleId="Cover-3">
    <w:name w:val="Cover-3"/>
    <w:next w:val="Cover-4"/>
    <w:uiPriority w:val="29"/>
    <w:rsid w:val="000B3F28"/>
    <w:pPr>
      <w:spacing w:before="0" w:after="0" w:line="264" w:lineRule="auto"/>
    </w:pPr>
    <w:rPr>
      <w:rFonts w:asciiTheme="majorHAnsi" w:eastAsia="Times New Roman" w:hAnsiTheme="majorHAnsi" w:cs="Times New Roman"/>
      <w:b/>
      <w:color w:val="FFFFFF"/>
      <w:sz w:val="60"/>
      <w:lang w:eastAsia="en-GB"/>
    </w:rPr>
  </w:style>
  <w:style w:type="paragraph" w:customStyle="1" w:styleId="Cover-5">
    <w:name w:val="Cover-5"/>
    <w:uiPriority w:val="29"/>
    <w:rsid w:val="000B3F28"/>
    <w:pPr>
      <w:spacing w:before="0" w:after="0" w:line="240" w:lineRule="auto"/>
    </w:pPr>
    <w:rPr>
      <w:color w:val="FFFFFF"/>
    </w:rPr>
  </w:style>
  <w:style w:type="paragraph" w:customStyle="1" w:styleId="Front-page-hyperlink">
    <w:name w:val="Front-page-hyperlink"/>
    <w:uiPriority w:val="14"/>
    <w:rsid w:val="000B3F28"/>
    <w:pPr>
      <w:spacing w:before="0" w:after="0" w:line="240" w:lineRule="auto"/>
      <w:jc w:val="right"/>
    </w:pPr>
  </w:style>
  <w:style w:type="character" w:styleId="Strong">
    <w:name w:val="Strong"/>
    <w:basedOn w:val="DefaultParagraphFont"/>
    <w:uiPriority w:val="99"/>
    <w:semiHidden/>
    <w:rsid w:val="000B3F28"/>
    <w:rPr>
      <w:rFonts w:asciiTheme="majorHAnsi" w:hAnsiTheme="majorHAnsi"/>
      <w:b/>
      <w:bCs/>
    </w:rPr>
  </w:style>
  <w:style w:type="table" w:styleId="ListTable2-Accent4">
    <w:name w:val="List Table 2 Accent 4"/>
    <w:basedOn w:val="TableNormal"/>
    <w:uiPriority w:val="47"/>
    <w:rsid w:val="000B3F28"/>
    <w:pPr>
      <w:spacing w:before="80" w:after="80" w:line="240" w:lineRule="auto"/>
    </w:pPr>
    <w:tblPr>
      <w:tblStyleRowBandSize w:val="1"/>
      <w:tblStyleColBandSize w:val="1"/>
      <w:tblBorders>
        <w:top w:val="single" w:sz="4" w:space="0" w:color="B88D2D"/>
        <w:bottom w:val="single" w:sz="4" w:space="0" w:color="B88D2D"/>
        <w:insideH w:val="single" w:sz="4" w:space="0" w:color="B88D2D"/>
      </w:tblBorders>
    </w:tblPr>
    <w:tblStylePr w:type="firstRow">
      <w:rPr>
        <w:rFonts w:asciiTheme="majorHAnsi" w:hAnsiTheme="majorHAnsi"/>
        <w:b/>
        <w:bCs/>
      </w:rPr>
      <w:tblPr/>
      <w:tcPr>
        <w:tcBorders>
          <w:top w:val="single" w:sz="4" w:space="0" w:color="B88D2D"/>
          <w:left w:val="nil"/>
          <w:bottom w:val="single" w:sz="4" w:space="0" w:color="B88D2D"/>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B88D2D"/>
          <w:left w:val="nil"/>
          <w:bottom w:val="double" w:sz="4" w:space="0" w:color="B88D2D"/>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
    <w:name w:val="List Table 1 Light"/>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414042"/>
        </w:tcBorders>
        <w:shd w:val="clear" w:color="auto" w:fill="FFFFFF" w:themeFill="background1"/>
      </w:tcPr>
    </w:tblStylePr>
    <w:tblStylePr w:type="lastRow">
      <w:rPr>
        <w:rFonts w:asciiTheme="majorHAnsi" w:hAnsiTheme="majorHAnsi"/>
        <w:b/>
        <w:bCs/>
      </w:rPr>
      <w:tblPr/>
      <w:tcPr>
        <w:tcBorders>
          <w:top w:val="double" w:sz="4" w:space="0" w:color="41404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1">
    <w:name w:val="List Table 1 Light Accent 1"/>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C90774"/>
        </w:tcBorders>
        <w:shd w:val="clear" w:color="auto" w:fill="FFFFFF" w:themeFill="background1"/>
      </w:tcPr>
    </w:tblStylePr>
    <w:tblStylePr w:type="lastRow">
      <w:rPr>
        <w:rFonts w:asciiTheme="majorHAnsi" w:hAnsiTheme="majorHAnsi"/>
        <w:b/>
        <w:bCs/>
      </w:rPr>
      <w:tblPr/>
      <w:tcPr>
        <w:tcBorders>
          <w:top w:val="double" w:sz="4" w:space="0" w:color="C9077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2">
    <w:name w:val="List Table 1 Light Accent 2"/>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E7333F"/>
        </w:tcBorders>
        <w:shd w:val="clear" w:color="auto" w:fill="FFFFFF" w:themeFill="background1"/>
      </w:tcPr>
    </w:tblStylePr>
    <w:tblStylePr w:type="lastRow">
      <w:rPr>
        <w:rFonts w:asciiTheme="majorHAnsi" w:hAnsiTheme="majorHAnsi"/>
        <w:b/>
        <w:bCs/>
      </w:rPr>
      <w:tblPr/>
      <w:tcPr>
        <w:tcBorders>
          <w:top w:val="double" w:sz="4" w:space="0" w:color="E7333F"/>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3">
    <w:name w:val="List Table 1 Light Accent 3"/>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E37608"/>
        </w:tcBorders>
        <w:shd w:val="clear" w:color="auto" w:fill="FFFFFF" w:themeFill="background1"/>
      </w:tcPr>
    </w:tblStylePr>
    <w:tblStylePr w:type="lastRow">
      <w:rPr>
        <w:rFonts w:asciiTheme="majorHAnsi" w:hAnsiTheme="majorHAnsi"/>
        <w:b/>
        <w:bCs/>
      </w:rPr>
      <w:tblPr/>
      <w:tcPr>
        <w:tcBorders>
          <w:top w:val="double" w:sz="4" w:space="0" w:color="E37608"/>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4">
    <w:name w:val="List Table 1 Light Accent 4"/>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B88D2D"/>
        </w:tcBorders>
        <w:shd w:val="clear" w:color="auto" w:fill="FFFFFF" w:themeFill="background1"/>
      </w:tcPr>
    </w:tblStylePr>
    <w:tblStylePr w:type="lastRow">
      <w:rPr>
        <w:rFonts w:asciiTheme="majorHAnsi" w:hAnsiTheme="majorHAnsi"/>
        <w:b/>
        <w:bCs/>
      </w:rPr>
      <w:tblPr/>
      <w:tcPr>
        <w:tcBorders>
          <w:top w:val="double" w:sz="4" w:space="0" w:color="B88D2D"/>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5">
    <w:name w:val="List Table 1 Light Accent 5"/>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2BA484"/>
        </w:tcBorders>
        <w:shd w:val="clear" w:color="auto" w:fill="FFFFFF" w:themeFill="background1"/>
      </w:tcPr>
    </w:tblStylePr>
    <w:tblStylePr w:type="lastRow">
      <w:rPr>
        <w:rFonts w:asciiTheme="majorHAnsi" w:hAnsiTheme="majorHAnsi"/>
        <w:b/>
        <w:bCs/>
      </w:rPr>
      <w:tblPr/>
      <w:tcPr>
        <w:tcBorders>
          <w:top w:val="double" w:sz="4" w:space="0" w:color="2BA48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6">
    <w:name w:val="List Table 1 Light Accent 6"/>
    <w:basedOn w:val="TableNormal"/>
    <w:uiPriority w:val="46"/>
    <w:rsid w:val="000B3F28"/>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0B9DA2"/>
        </w:tcBorders>
        <w:shd w:val="clear" w:color="auto" w:fill="FFFFFF" w:themeFill="background1"/>
      </w:tcPr>
    </w:tblStylePr>
    <w:tblStylePr w:type="lastRow">
      <w:rPr>
        <w:rFonts w:asciiTheme="majorHAnsi" w:hAnsiTheme="majorHAnsi"/>
        <w:b/>
        <w:bCs/>
      </w:rPr>
      <w:tblPr/>
      <w:tcPr>
        <w:tcBorders>
          <w:top w:val="double" w:sz="4" w:space="0" w:color="0B9DA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
    <w:name w:val="List Table 2"/>
    <w:basedOn w:val="TableNormal"/>
    <w:uiPriority w:val="47"/>
    <w:rsid w:val="000B3F28"/>
    <w:pPr>
      <w:spacing w:before="80" w:after="80" w:line="240" w:lineRule="auto"/>
    </w:pPr>
    <w:tblPr>
      <w:tblStyleRowBandSize w:val="1"/>
      <w:tblStyleColBandSize w:val="1"/>
      <w:tblBorders>
        <w:top w:val="single" w:sz="4" w:space="0" w:color="414042"/>
        <w:bottom w:val="single" w:sz="4" w:space="0" w:color="414042"/>
        <w:insideH w:val="single" w:sz="4" w:space="0" w:color="414042"/>
      </w:tblBorders>
    </w:tblPr>
    <w:tblStylePr w:type="firstRow">
      <w:rPr>
        <w:rFonts w:asciiTheme="majorHAnsi" w:hAnsiTheme="majorHAnsi"/>
        <w:b/>
        <w:bCs/>
      </w:rPr>
      <w:tblPr/>
      <w:tcPr>
        <w:tcBorders>
          <w:top w:val="single" w:sz="4" w:space="0" w:color="414042"/>
          <w:left w:val="nil"/>
          <w:bottom w:val="single" w:sz="4" w:space="0" w:color="414042"/>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414042"/>
          <w:left w:val="nil"/>
          <w:bottom w:val="double" w:sz="4" w:space="0" w:color="414042"/>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1">
    <w:name w:val="List Table 2 Accent 1"/>
    <w:basedOn w:val="TableNormal"/>
    <w:uiPriority w:val="47"/>
    <w:rsid w:val="000B3F28"/>
    <w:pPr>
      <w:spacing w:before="80" w:after="80" w:line="240" w:lineRule="auto"/>
    </w:pPr>
    <w:tblPr>
      <w:tblStyleRowBandSize w:val="1"/>
      <w:tblStyleColBandSize w:val="1"/>
      <w:tblBorders>
        <w:top w:val="single" w:sz="4" w:space="0" w:color="C90774"/>
        <w:bottom w:val="single" w:sz="4" w:space="0" w:color="C90774"/>
        <w:insideH w:val="single" w:sz="4" w:space="0" w:color="C90774"/>
      </w:tblBorders>
    </w:tblPr>
    <w:tblStylePr w:type="firstRow">
      <w:rPr>
        <w:rFonts w:asciiTheme="majorHAnsi" w:hAnsiTheme="majorHAnsi"/>
        <w:b/>
        <w:bCs/>
      </w:rPr>
      <w:tblPr/>
      <w:tcPr>
        <w:tcBorders>
          <w:top w:val="single" w:sz="4" w:space="0" w:color="C90774"/>
          <w:left w:val="nil"/>
          <w:bottom w:val="single" w:sz="4" w:space="0" w:color="C90774"/>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C90774"/>
          <w:left w:val="nil"/>
          <w:bottom w:val="double" w:sz="4" w:space="0" w:color="C90774"/>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2">
    <w:name w:val="List Table 2 Accent 2"/>
    <w:basedOn w:val="TableNormal"/>
    <w:uiPriority w:val="47"/>
    <w:rsid w:val="000B3F28"/>
    <w:pPr>
      <w:spacing w:before="80" w:after="80" w:line="240" w:lineRule="auto"/>
    </w:pPr>
    <w:tblPr>
      <w:tblStyleRowBandSize w:val="1"/>
      <w:tblStyleColBandSize w:val="1"/>
      <w:tblBorders>
        <w:top w:val="single" w:sz="4" w:space="0" w:color="E7333F"/>
        <w:bottom w:val="single" w:sz="4" w:space="0" w:color="E7333F"/>
        <w:insideH w:val="single" w:sz="4" w:space="0" w:color="E7333F"/>
      </w:tblBorders>
    </w:tblPr>
    <w:tblStylePr w:type="firstRow">
      <w:rPr>
        <w:rFonts w:asciiTheme="majorHAnsi" w:hAnsiTheme="majorHAnsi"/>
        <w:b/>
        <w:bCs/>
      </w:rPr>
      <w:tblPr/>
      <w:tcPr>
        <w:tcBorders>
          <w:top w:val="single" w:sz="4" w:space="0" w:color="E7333F"/>
          <w:left w:val="nil"/>
          <w:bottom w:val="single" w:sz="4" w:space="0" w:color="E7333F"/>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E7333F"/>
          <w:left w:val="nil"/>
          <w:bottom w:val="double" w:sz="4" w:space="0" w:color="E7333F"/>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3">
    <w:name w:val="List Table 2 Accent 3"/>
    <w:basedOn w:val="TableNormal"/>
    <w:uiPriority w:val="47"/>
    <w:rsid w:val="000B3F28"/>
    <w:pPr>
      <w:spacing w:before="80" w:after="80" w:line="240" w:lineRule="auto"/>
    </w:pPr>
    <w:tblPr>
      <w:tblStyleRowBandSize w:val="1"/>
      <w:tblStyleColBandSize w:val="1"/>
      <w:tblBorders>
        <w:top w:val="single" w:sz="4" w:space="0" w:color="E37608"/>
        <w:bottom w:val="single" w:sz="4" w:space="0" w:color="E37608"/>
        <w:insideH w:val="single" w:sz="4" w:space="0" w:color="E37608"/>
      </w:tblBorders>
    </w:tblPr>
    <w:tblStylePr w:type="firstRow">
      <w:rPr>
        <w:rFonts w:asciiTheme="majorHAnsi" w:hAnsiTheme="majorHAnsi"/>
        <w:b/>
        <w:bCs/>
      </w:rPr>
      <w:tblPr/>
      <w:tcPr>
        <w:tcBorders>
          <w:top w:val="single" w:sz="4" w:space="0" w:color="E37608"/>
          <w:left w:val="nil"/>
          <w:bottom w:val="single" w:sz="4" w:space="0" w:color="E37608"/>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E37608"/>
          <w:left w:val="nil"/>
          <w:bottom w:val="double" w:sz="4" w:space="0" w:color="E37608"/>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5">
    <w:name w:val="List Table 2 Accent 5"/>
    <w:basedOn w:val="TableNormal"/>
    <w:uiPriority w:val="47"/>
    <w:rsid w:val="000B3F28"/>
    <w:pPr>
      <w:spacing w:before="80" w:after="80" w:line="240" w:lineRule="auto"/>
    </w:pPr>
    <w:tblPr>
      <w:tblStyleRowBandSize w:val="1"/>
      <w:tblStyleColBandSize w:val="1"/>
      <w:tblBorders>
        <w:top w:val="single" w:sz="4" w:space="0" w:color="2BA484"/>
        <w:bottom w:val="single" w:sz="4" w:space="0" w:color="2BA484"/>
        <w:insideH w:val="single" w:sz="4" w:space="0" w:color="2BA484"/>
      </w:tblBorders>
    </w:tblPr>
    <w:tblStylePr w:type="firstRow">
      <w:rPr>
        <w:rFonts w:asciiTheme="majorHAnsi" w:hAnsiTheme="majorHAnsi"/>
        <w:b/>
        <w:bCs/>
      </w:rPr>
      <w:tblPr/>
      <w:tcPr>
        <w:tcBorders>
          <w:top w:val="single" w:sz="4" w:space="0" w:color="2BA484"/>
          <w:left w:val="nil"/>
          <w:bottom w:val="single" w:sz="4" w:space="0" w:color="2BA484"/>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2BA484"/>
          <w:left w:val="nil"/>
          <w:bottom w:val="double" w:sz="4" w:space="0" w:color="2BA484"/>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6">
    <w:name w:val="List Table 2 Accent 6"/>
    <w:basedOn w:val="TableNormal"/>
    <w:uiPriority w:val="47"/>
    <w:rsid w:val="000B3F28"/>
    <w:pPr>
      <w:spacing w:before="80" w:after="80" w:line="240" w:lineRule="auto"/>
    </w:pPr>
    <w:tblPr>
      <w:tblStyleRowBandSize w:val="1"/>
      <w:tblStyleColBandSize w:val="1"/>
      <w:tblBorders>
        <w:top w:val="single" w:sz="4" w:space="0" w:color="0B9DA2"/>
        <w:bottom w:val="single" w:sz="4" w:space="0" w:color="0B9DA2"/>
        <w:insideH w:val="single" w:sz="4" w:space="0" w:color="0B9DA2"/>
      </w:tblBorders>
    </w:tblPr>
    <w:tblStylePr w:type="firstRow">
      <w:rPr>
        <w:rFonts w:asciiTheme="majorHAnsi" w:hAnsiTheme="majorHAnsi"/>
        <w:b/>
        <w:bCs/>
      </w:rPr>
      <w:tblPr/>
      <w:tcPr>
        <w:tcBorders>
          <w:top w:val="single" w:sz="4" w:space="0" w:color="0B9DA2"/>
          <w:left w:val="nil"/>
          <w:bottom w:val="single" w:sz="4" w:space="0" w:color="0B9DA2"/>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0B9DA2"/>
          <w:left w:val="nil"/>
          <w:bottom w:val="double" w:sz="4" w:space="0" w:color="0B9DA2"/>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3">
    <w:name w:val="List Table 3"/>
    <w:basedOn w:val="TableNormal"/>
    <w:uiPriority w:val="48"/>
    <w:locked/>
    <w:rsid w:val="000B3F28"/>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2D2D2C" w:themeColor="text1"/>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2D2D2C" w:themeColor="text1"/>
          <w:right w:val="single" w:sz="4" w:space="0" w:color="2D2D2C" w:themeColor="text1"/>
        </w:tcBorders>
      </w:tcPr>
    </w:tblStylePr>
    <w:tblStylePr w:type="band1Horz">
      <w:tblPr/>
      <w:tcPr>
        <w:tcBorders>
          <w:top w:val="single" w:sz="4" w:space="0" w:color="2D2D2C" w:themeColor="text1"/>
          <w:bottom w:val="single" w:sz="4" w:space="0" w:color="2D2D2C" w:themeColor="text1"/>
          <w:insideH w:val="nil"/>
        </w:tcBorders>
      </w:tcPr>
    </w:tblStylePr>
    <w:tblStylePr w:type="neCell">
      <w:tblPr/>
      <w:tcPr>
        <w:tcBorders>
          <w:top w:val="nil"/>
          <w:left w:val="nil"/>
          <w:bottom w:val="single" w:sz="4" w:space="0" w:color="414042"/>
          <w:right w:val="nil"/>
          <w:insideH w:val="nil"/>
          <w:insideV w:val="nil"/>
          <w:tl2br w:val="nil"/>
          <w:tr2bl w:val="nil"/>
        </w:tcBorders>
      </w:tcPr>
    </w:tblStylePr>
    <w:tblStylePr w:type="nwCell">
      <w:tblPr/>
      <w:tcPr>
        <w:tcBorders>
          <w:top w:val="nil"/>
          <w:left w:val="nil"/>
          <w:bottom w:val="single" w:sz="4" w:space="0" w:color="414042"/>
          <w:right w:val="nil"/>
          <w:insideH w:val="nil"/>
          <w:insideV w:val="nil"/>
          <w:tl2br w:val="nil"/>
          <w:tr2bl w:val="nil"/>
        </w:tcBorders>
      </w:tcPr>
    </w:tblStylePr>
    <w:tblStylePr w:type="seCell">
      <w:tblPr/>
      <w:tcPr>
        <w:tcBorders>
          <w:top w:val="double" w:sz="4" w:space="0" w:color="2D2D2C" w:themeColor="text1"/>
          <w:left w:val="nil"/>
        </w:tcBorders>
      </w:tcPr>
    </w:tblStylePr>
    <w:tblStylePr w:type="swCell">
      <w:tblPr/>
      <w:tcPr>
        <w:tcBorders>
          <w:top w:val="double" w:sz="4" w:space="0" w:color="2D2D2C" w:themeColor="text1"/>
          <w:right w:val="nil"/>
        </w:tcBorders>
      </w:tcPr>
    </w:tblStylePr>
  </w:style>
  <w:style w:type="table" w:styleId="ListTable3-Accent1">
    <w:name w:val="List Table 3 Accent 1"/>
    <w:basedOn w:val="TableNormal"/>
    <w:uiPriority w:val="48"/>
    <w:locked/>
    <w:rsid w:val="000B3F28"/>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C90774"/>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C90774" w:themeColor="accent1"/>
          <w:right w:val="single" w:sz="4" w:space="0" w:color="C90774" w:themeColor="accent1"/>
        </w:tcBorders>
      </w:tcPr>
    </w:tblStylePr>
    <w:tblStylePr w:type="band1Horz">
      <w:tblPr/>
      <w:tcPr>
        <w:tcBorders>
          <w:top w:val="single" w:sz="4" w:space="0" w:color="C90774" w:themeColor="accent1"/>
          <w:bottom w:val="single" w:sz="4" w:space="0" w:color="C90774" w:themeColor="accent1"/>
          <w:insideH w:val="nil"/>
        </w:tcBorders>
      </w:tcPr>
    </w:tblStylePr>
    <w:tblStylePr w:type="neCell">
      <w:tblPr/>
      <w:tcPr>
        <w:tcBorders>
          <w:top w:val="nil"/>
          <w:left w:val="nil"/>
          <w:bottom w:val="single" w:sz="4" w:space="0" w:color="C90774"/>
          <w:right w:val="nil"/>
          <w:insideH w:val="nil"/>
          <w:insideV w:val="nil"/>
          <w:tl2br w:val="nil"/>
          <w:tr2bl w:val="nil"/>
        </w:tcBorders>
      </w:tcPr>
    </w:tblStylePr>
    <w:tblStylePr w:type="nwCell">
      <w:tblPr/>
      <w:tcPr>
        <w:tcBorders>
          <w:top w:val="nil"/>
          <w:left w:val="nil"/>
          <w:bottom w:val="single" w:sz="4" w:space="0" w:color="C90774"/>
          <w:right w:val="nil"/>
          <w:insideH w:val="nil"/>
          <w:insideV w:val="nil"/>
          <w:tl2br w:val="nil"/>
          <w:tr2bl w:val="nil"/>
        </w:tcBorders>
      </w:tcPr>
    </w:tblStylePr>
    <w:tblStylePr w:type="seCell">
      <w:tblPr/>
      <w:tcPr>
        <w:tcBorders>
          <w:top w:val="double" w:sz="4" w:space="0" w:color="C90774" w:themeColor="accent1"/>
          <w:left w:val="nil"/>
        </w:tcBorders>
      </w:tcPr>
    </w:tblStylePr>
    <w:tblStylePr w:type="swCell">
      <w:tblPr/>
      <w:tcPr>
        <w:tcBorders>
          <w:top w:val="double" w:sz="4" w:space="0" w:color="C90774" w:themeColor="accent1"/>
          <w:right w:val="nil"/>
        </w:tcBorders>
      </w:tcPr>
    </w:tblStylePr>
  </w:style>
  <w:style w:type="table" w:styleId="ListTable3-Accent2">
    <w:name w:val="List Table 3 Accent 2"/>
    <w:basedOn w:val="TableNormal"/>
    <w:uiPriority w:val="48"/>
    <w:locked/>
    <w:rsid w:val="000B3F28"/>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E7333F"/>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E7333F" w:themeColor="accent2"/>
          <w:right w:val="single" w:sz="4" w:space="0" w:color="E7333F" w:themeColor="accent2"/>
        </w:tcBorders>
      </w:tcPr>
    </w:tblStylePr>
    <w:tblStylePr w:type="band1Horz">
      <w:tblPr/>
      <w:tcPr>
        <w:tcBorders>
          <w:top w:val="single" w:sz="4" w:space="0" w:color="E7333F" w:themeColor="accent2"/>
          <w:bottom w:val="single" w:sz="4" w:space="0" w:color="E7333F" w:themeColor="accent2"/>
          <w:insideH w:val="nil"/>
        </w:tcBorders>
      </w:tcPr>
    </w:tblStylePr>
    <w:tblStylePr w:type="neCell">
      <w:tblPr/>
      <w:tcPr>
        <w:tcBorders>
          <w:top w:val="nil"/>
          <w:left w:val="nil"/>
          <w:bottom w:val="single" w:sz="4" w:space="0" w:color="E7333F"/>
          <w:right w:val="nil"/>
          <w:insideH w:val="nil"/>
          <w:insideV w:val="nil"/>
          <w:tl2br w:val="nil"/>
          <w:tr2bl w:val="nil"/>
        </w:tcBorders>
      </w:tcPr>
    </w:tblStylePr>
    <w:tblStylePr w:type="nwCell">
      <w:tblPr/>
      <w:tcPr>
        <w:tcBorders>
          <w:top w:val="nil"/>
          <w:left w:val="nil"/>
          <w:bottom w:val="single" w:sz="4" w:space="0" w:color="E7333F"/>
          <w:right w:val="nil"/>
          <w:insideH w:val="nil"/>
          <w:insideV w:val="nil"/>
          <w:tl2br w:val="nil"/>
          <w:tr2bl w:val="nil"/>
        </w:tcBorders>
      </w:tcPr>
    </w:tblStylePr>
    <w:tblStylePr w:type="seCell">
      <w:tblPr/>
      <w:tcPr>
        <w:tcBorders>
          <w:top w:val="double" w:sz="4" w:space="0" w:color="E7333F" w:themeColor="accent2"/>
          <w:left w:val="nil"/>
        </w:tcBorders>
      </w:tcPr>
    </w:tblStylePr>
    <w:tblStylePr w:type="swCell">
      <w:tblPr/>
      <w:tcPr>
        <w:tcBorders>
          <w:top w:val="double" w:sz="4" w:space="0" w:color="E7333F" w:themeColor="accent2"/>
          <w:right w:val="nil"/>
        </w:tcBorders>
      </w:tcPr>
    </w:tblStylePr>
  </w:style>
  <w:style w:type="table" w:styleId="ListTable3-Accent3">
    <w:name w:val="List Table 3 Accent 3"/>
    <w:basedOn w:val="TableNormal"/>
    <w:uiPriority w:val="48"/>
    <w:locked/>
    <w:rsid w:val="000B3F28"/>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E37608"/>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E37608" w:themeColor="accent3"/>
          <w:right w:val="single" w:sz="4" w:space="0" w:color="E37608" w:themeColor="accent3"/>
        </w:tcBorders>
      </w:tcPr>
    </w:tblStylePr>
    <w:tblStylePr w:type="band1Horz">
      <w:tblPr/>
      <w:tcPr>
        <w:tcBorders>
          <w:top w:val="single" w:sz="4" w:space="0" w:color="E37608" w:themeColor="accent3"/>
          <w:bottom w:val="single" w:sz="4" w:space="0" w:color="E37608" w:themeColor="accent3"/>
          <w:insideH w:val="nil"/>
        </w:tcBorders>
      </w:tcPr>
    </w:tblStylePr>
    <w:tblStylePr w:type="neCell">
      <w:tblPr/>
      <w:tcPr>
        <w:tcBorders>
          <w:top w:val="nil"/>
          <w:left w:val="nil"/>
          <w:bottom w:val="single" w:sz="4" w:space="0" w:color="E37608"/>
          <w:right w:val="nil"/>
          <w:insideH w:val="nil"/>
          <w:insideV w:val="nil"/>
          <w:tl2br w:val="nil"/>
          <w:tr2bl w:val="nil"/>
        </w:tcBorders>
      </w:tcPr>
    </w:tblStylePr>
    <w:tblStylePr w:type="nwCell">
      <w:tblPr/>
      <w:tcPr>
        <w:tcBorders>
          <w:top w:val="nil"/>
          <w:left w:val="nil"/>
          <w:bottom w:val="single" w:sz="4" w:space="0" w:color="E37608"/>
          <w:right w:val="nil"/>
          <w:insideH w:val="nil"/>
          <w:insideV w:val="nil"/>
          <w:tl2br w:val="nil"/>
          <w:tr2bl w:val="nil"/>
        </w:tcBorders>
      </w:tcPr>
    </w:tblStylePr>
    <w:tblStylePr w:type="seCell">
      <w:tblPr/>
      <w:tcPr>
        <w:tcBorders>
          <w:top w:val="double" w:sz="4" w:space="0" w:color="E37608" w:themeColor="accent3"/>
          <w:left w:val="nil"/>
        </w:tcBorders>
      </w:tcPr>
    </w:tblStylePr>
    <w:tblStylePr w:type="swCell">
      <w:tblPr/>
      <w:tcPr>
        <w:tcBorders>
          <w:top w:val="double" w:sz="4" w:space="0" w:color="E37608" w:themeColor="accent3"/>
          <w:right w:val="nil"/>
        </w:tcBorders>
      </w:tcPr>
    </w:tblStylePr>
  </w:style>
  <w:style w:type="table" w:styleId="ListTable3-Accent4">
    <w:name w:val="List Table 3 Accent 4"/>
    <w:basedOn w:val="TableNormal"/>
    <w:uiPriority w:val="48"/>
    <w:locked/>
    <w:rsid w:val="000B3F28"/>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B88D2D"/>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B88D2D" w:themeColor="accent4"/>
          <w:right w:val="single" w:sz="4" w:space="0" w:color="B88D2D" w:themeColor="accent4"/>
        </w:tcBorders>
      </w:tcPr>
    </w:tblStylePr>
    <w:tblStylePr w:type="band1Horz">
      <w:tblPr/>
      <w:tcPr>
        <w:tcBorders>
          <w:top w:val="single" w:sz="4" w:space="0" w:color="B88D2D" w:themeColor="accent4"/>
          <w:bottom w:val="single" w:sz="4" w:space="0" w:color="B88D2D" w:themeColor="accent4"/>
          <w:insideH w:val="nil"/>
        </w:tcBorders>
      </w:tcPr>
    </w:tblStylePr>
    <w:tblStylePr w:type="neCell">
      <w:tblPr/>
      <w:tcPr>
        <w:tcBorders>
          <w:top w:val="nil"/>
          <w:left w:val="nil"/>
          <w:bottom w:val="single" w:sz="4" w:space="0" w:color="B88D2D"/>
          <w:right w:val="nil"/>
          <w:insideH w:val="nil"/>
          <w:insideV w:val="nil"/>
          <w:tl2br w:val="nil"/>
          <w:tr2bl w:val="nil"/>
        </w:tcBorders>
      </w:tcPr>
    </w:tblStylePr>
    <w:tblStylePr w:type="nwCell">
      <w:tblPr/>
      <w:tcPr>
        <w:tcBorders>
          <w:top w:val="nil"/>
          <w:left w:val="nil"/>
          <w:bottom w:val="single" w:sz="4" w:space="0" w:color="B88D2D"/>
          <w:right w:val="nil"/>
          <w:insideH w:val="nil"/>
          <w:insideV w:val="nil"/>
          <w:tl2br w:val="nil"/>
          <w:tr2bl w:val="nil"/>
        </w:tcBorders>
      </w:tcPr>
    </w:tblStylePr>
    <w:tblStylePr w:type="seCell">
      <w:tblPr/>
      <w:tcPr>
        <w:tcBorders>
          <w:top w:val="double" w:sz="4" w:space="0" w:color="B88D2D" w:themeColor="accent4"/>
          <w:left w:val="nil"/>
        </w:tcBorders>
      </w:tcPr>
    </w:tblStylePr>
    <w:tblStylePr w:type="swCell">
      <w:tblPr/>
      <w:tcPr>
        <w:tcBorders>
          <w:top w:val="double" w:sz="4" w:space="0" w:color="B88D2D" w:themeColor="accent4"/>
          <w:right w:val="nil"/>
        </w:tcBorders>
      </w:tcPr>
    </w:tblStylePr>
  </w:style>
  <w:style w:type="table" w:styleId="ListTable3-Accent5">
    <w:name w:val="List Table 3 Accent 5"/>
    <w:basedOn w:val="TableNormal"/>
    <w:uiPriority w:val="48"/>
    <w:locked/>
    <w:rsid w:val="000B3F28"/>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2BA484"/>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2BA484" w:themeColor="accent5"/>
          <w:right w:val="single" w:sz="4" w:space="0" w:color="2BA484" w:themeColor="accent5"/>
        </w:tcBorders>
      </w:tcPr>
    </w:tblStylePr>
    <w:tblStylePr w:type="band1Horz">
      <w:tblPr/>
      <w:tcPr>
        <w:tcBorders>
          <w:top w:val="single" w:sz="4" w:space="0" w:color="2BA484" w:themeColor="accent5"/>
          <w:bottom w:val="single" w:sz="4" w:space="0" w:color="2BA484" w:themeColor="accent5"/>
          <w:insideH w:val="nil"/>
        </w:tcBorders>
      </w:tcPr>
    </w:tblStylePr>
    <w:tblStylePr w:type="neCell">
      <w:tblPr/>
      <w:tcPr>
        <w:tcBorders>
          <w:top w:val="nil"/>
          <w:left w:val="nil"/>
          <w:bottom w:val="single" w:sz="4" w:space="0" w:color="2BA484"/>
          <w:right w:val="nil"/>
          <w:insideH w:val="nil"/>
          <w:insideV w:val="nil"/>
          <w:tl2br w:val="nil"/>
          <w:tr2bl w:val="nil"/>
        </w:tcBorders>
      </w:tcPr>
    </w:tblStylePr>
    <w:tblStylePr w:type="nwCell">
      <w:tblPr/>
      <w:tcPr>
        <w:tcBorders>
          <w:top w:val="nil"/>
          <w:left w:val="nil"/>
          <w:bottom w:val="single" w:sz="4" w:space="0" w:color="2BA484"/>
          <w:right w:val="nil"/>
          <w:insideH w:val="nil"/>
          <w:insideV w:val="nil"/>
          <w:tl2br w:val="nil"/>
          <w:tr2bl w:val="nil"/>
        </w:tcBorders>
      </w:tcPr>
    </w:tblStylePr>
    <w:tblStylePr w:type="seCell">
      <w:tblPr/>
      <w:tcPr>
        <w:tcBorders>
          <w:top w:val="double" w:sz="4" w:space="0" w:color="2BA484" w:themeColor="accent5"/>
          <w:left w:val="nil"/>
        </w:tcBorders>
      </w:tcPr>
    </w:tblStylePr>
    <w:tblStylePr w:type="swCell">
      <w:tblPr/>
      <w:tcPr>
        <w:tcBorders>
          <w:top w:val="double" w:sz="4" w:space="0" w:color="2BA484" w:themeColor="accent5"/>
          <w:right w:val="nil"/>
        </w:tcBorders>
      </w:tcPr>
    </w:tblStylePr>
  </w:style>
  <w:style w:type="table" w:styleId="ListTable3-Accent6">
    <w:name w:val="List Table 3 Accent 6"/>
    <w:basedOn w:val="TableNormal"/>
    <w:uiPriority w:val="48"/>
    <w:locked/>
    <w:rsid w:val="000B3F28"/>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0B9DA2"/>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0B9DA2" w:themeColor="accent6"/>
          <w:right w:val="single" w:sz="4" w:space="0" w:color="0B9DA2" w:themeColor="accent6"/>
        </w:tcBorders>
      </w:tcPr>
    </w:tblStylePr>
    <w:tblStylePr w:type="band1Horz">
      <w:tblPr/>
      <w:tcPr>
        <w:tcBorders>
          <w:top w:val="single" w:sz="4" w:space="0" w:color="0B9DA2" w:themeColor="accent6"/>
          <w:bottom w:val="single" w:sz="4" w:space="0" w:color="0B9DA2" w:themeColor="accent6"/>
          <w:insideH w:val="nil"/>
        </w:tcBorders>
      </w:tcPr>
    </w:tblStylePr>
    <w:tblStylePr w:type="neCell">
      <w:tblPr/>
      <w:tcPr>
        <w:tcBorders>
          <w:top w:val="nil"/>
          <w:left w:val="nil"/>
          <w:bottom w:val="single" w:sz="4" w:space="0" w:color="0B9DA2"/>
          <w:right w:val="nil"/>
          <w:insideH w:val="nil"/>
          <w:insideV w:val="nil"/>
          <w:tl2br w:val="nil"/>
          <w:tr2bl w:val="nil"/>
        </w:tcBorders>
      </w:tcPr>
    </w:tblStylePr>
    <w:tblStylePr w:type="nwCell">
      <w:tblPr/>
      <w:tcPr>
        <w:tcBorders>
          <w:top w:val="nil"/>
          <w:left w:val="nil"/>
          <w:bottom w:val="single" w:sz="4" w:space="0" w:color="0B9DA2"/>
          <w:right w:val="nil"/>
          <w:insideH w:val="nil"/>
          <w:insideV w:val="nil"/>
          <w:tl2br w:val="nil"/>
          <w:tr2bl w:val="nil"/>
        </w:tcBorders>
      </w:tcPr>
    </w:tblStylePr>
    <w:tblStylePr w:type="seCell">
      <w:tblPr/>
      <w:tcPr>
        <w:tcBorders>
          <w:top w:val="double" w:sz="4" w:space="0" w:color="0B9DA2" w:themeColor="accent6"/>
          <w:left w:val="nil"/>
        </w:tcBorders>
      </w:tcPr>
    </w:tblStylePr>
    <w:tblStylePr w:type="swCell">
      <w:tblPr/>
      <w:tcPr>
        <w:tcBorders>
          <w:top w:val="double" w:sz="4" w:space="0" w:color="0B9DA2" w:themeColor="accent6"/>
          <w:right w:val="nil"/>
        </w:tcBorders>
      </w:tcPr>
    </w:tblStylePr>
  </w:style>
  <w:style w:type="table" w:styleId="ListTable4">
    <w:name w:val="List Table 4"/>
    <w:basedOn w:val="TableNormal"/>
    <w:uiPriority w:val="49"/>
    <w:locked/>
    <w:rsid w:val="000B3F28"/>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tblBorders>
    </w:tblPr>
    <w:tblStylePr w:type="firstRow">
      <w:rPr>
        <w:rFonts w:asciiTheme="majorHAnsi" w:hAnsiTheme="majorHAnsi"/>
        <w:b/>
        <w:bCs/>
        <w:color w:val="414042"/>
      </w:rPr>
      <w:tblPr/>
      <w:tcPr>
        <w:tcBorders>
          <w:top w:val="single" w:sz="4" w:space="0" w:color="2D2D2C" w:themeColor="text1"/>
          <w:left w:val="single" w:sz="4" w:space="0" w:color="2D2D2C" w:themeColor="text1"/>
          <w:bottom w:val="single" w:sz="4" w:space="0" w:color="2D2D2C" w:themeColor="text1"/>
          <w:right w:val="single" w:sz="4" w:space="0" w:color="2D2D2C" w:themeColor="text1"/>
          <w:insideH w:val="nil"/>
        </w:tcBorders>
        <w:shd w:val="clear" w:color="auto" w:fill="FFFFFF"/>
      </w:tcPr>
    </w:tblStylePr>
    <w:tblStylePr w:type="lastRow">
      <w:rPr>
        <w:rFonts w:asciiTheme="majorHAnsi" w:hAnsiTheme="majorHAnsi"/>
        <w:b/>
        <w:bCs/>
      </w:rPr>
      <w:tblPr/>
      <w:tcPr>
        <w:tcBorders>
          <w:top w:val="double" w:sz="4" w:space="0" w:color="4140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1">
    <w:name w:val="List Table 4 Accent 1"/>
    <w:basedOn w:val="TableNormal"/>
    <w:uiPriority w:val="49"/>
    <w:locked/>
    <w:rsid w:val="000B3F28"/>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tblBorders>
    </w:tblPr>
    <w:tblStylePr w:type="firstRow">
      <w:rPr>
        <w:rFonts w:asciiTheme="majorHAnsi" w:hAnsiTheme="majorHAnsi"/>
        <w:b/>
        <w:bCs/>
        <w:color w:val="414042"/>
      </w:rPr>
      <w:tblPr/>
      <w:tcPr>
        <w:tcBorders>
          <w:top w:val="single" w:sz="4" w:space="0" w:color="C90774" w:themeColor="accent1"/>
          <w:left w:val="single" w:sz="4" w:space="0" w:color="C90774" w:themeColor="accent1"/>
          <w:bottom w:val="single" w:sz="4" w:space="0" w:color="C90774" w:themeColor="accent1"/>
          <w:right w:val="single" w:sz="4" w:space="0" w:color="C90774" w:themeColor="accent1"/>
          <w:insideH w:val="nil"/>
        </w:tcBorders>
        <w:shd w:val="clear" w:color="auto" w:fill="FFFFFF"/>
      </w:tcPr>
    </w:tblStylePr>
    <w:tblStylePr w:type="lastRow">
      <w:rPr>
        <w:rFonts w:asciiTheme="majorHAnsi" w:hAnsiTheme="majorHAnsi"/>
        <w:b/>
        <w:bCs/>
      </w:rPr>
      <w:tblPr/>
      <w:tcPr>
        <w:tcBorders>
          <w:top w:val="double" w:sz="4" w:space="0" w:color="C90774"/>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2">
    <w:name w:val="List Table 4 Accent 2"/>
    <w:basedOn w:val="TableNormal"/>
    <w:uiPriority w:val="49"/>
    <w:locked/>
    <w:rsid w:val="000B3F28"/>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tblBorders>
    </w:tblPr>
    <w:tblStylePr w:type="firstRow">
      <w:rPr>
        <w:rFonts w:asciiTheme="majorHAnsi" w:hAnsiTheme="majorHAnsi"/>
        <w:b/>
        <w:bCs/>
        <w:color w:val="414042"/>
      </w:rPr>
      <w:tblPr/>
      <w:tcPr>
        <w:tcBorders>
          <w:top w:val="single" w:sz="4" w:space="0" w:color="E7333F" w:themeColor="accent2"/>
          <w:left w:val="single" w:sz="4" w:space="0" w:color="E7333F" w:themeColor="accent2"/>
          <w:bottom w:val="single" w:sz="4" w:space="0" w:color="E7333F" w:themeColor="accent2"/>
          <w:right w:val="single" w:sz="4" w:space="0" w:color="E7333F" w:themeColor="accent2"/>
          <w:insideH w:val="nil"/>
        </w:tcBorders>
        <w:shd w:val="clear" w:color="auto" w:fill="FFFFFF"/>
      </w:tcPr>
    </w:tblStylePr>
    <w:tblStylePr w:type="lastRow">
      <w:rPr>
        <w:rFonts w:asciiTheme="majorHAnsi" w:hAnsiTheme="majorHAnsi"/>
        <w:b/>
        <w:bCs/>
      </w:rPr>
      <w:tblPr/>
      <w:tcPr>
        <w:tcBorders>
          <w:top w:val="double" w:sz="4" w:space="0" w:color="E7333F"/>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3">
    <w:name w:val="List Table 4 Accent 3"/>
    <w:basedOn w:val="TableNormal"/>
    <w:uiPriority w:val="49"/>
    <w:locked/>
    <w:rsid w:val="000B3F28"/>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tblBorders>
    </w:tblPr>
    <w:tblStylePr w:type="firstRow">
      <w:rPr>
        <w:rFonts w:asciiTheme="majorHAnsi" w:hAnsiTheme="majorHAnsi"/>
        <w:b/>
        <w:bCs/>
        <w:color w:val="414042"/>
      </w:rPr>
      <w:tblPr/>
      <w:tcPr>
        <w:tcBorders>
          <w:top w:val="single" w:sz="4" w:space="0" w:color="E37608" w:themeColor="accent3"/>
          <w:left w:val="single" w:sz="4" w:space="0" w:color="E37608" w:themeColor="accent3"/>
          <w:bottom w:val="single" w:sz="4" w:space="0" w:color="E37608" w:themeColor="accent3"/>
          <w:right w:val="single" w:sz="4" w:space="0" w:color="E37608" w:themeColor="accent3"/>
          <w:insideH w:val="nil"/>
        </w:tcBorders>
        <w:shd w:val="clear" w:color="auto" w:fill="FFFFFF"/>
      </w:tcPr>
    </w:tblStylePr>
    <w:tblStylePr w:type="lastRow">
      <w:rPr>
        <w:rFonts w:asciiTheme="majorHAnsi" w:hAnsiTheme="majorHAnsi"/>
        <w:b/>
        <w:bCs/>
      </w:rPr>
      <w:tblPr/>
      <w:tcPr>
        <w:tcBorders>
          <w:top w:val="double" w:sz="4" w:space="0" w:color="E37608"/>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4">
    <w:name w:val="List Table 4 Accent 4"/>
    <w:basedOn w:val="TableNormal"/>
    <w:uiPriority w:val="49"/>
    <w:locked/>
    <w:rsid w:val="000B3F28"/>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tblBorders>
    </w:tblPr>
    <w:tblStylePr w:type="firstRow">
      <w:rPr>
        <w:rFonts w:asciiTheme="majorHAnsi" w:hAnsiTheme="majorHAnsi"/>
        <w:b/>
        <w:bCs/>
        <w:color w:val="414042"/>
      </w:rPr>
      <w:tblPr/>
      <w:tcPr>
        <w:tcBorders>
          <w:top w:val="single" w:sz="4" w:space="0" w:color="B88D2D" w:themeColor="accent4"/>
          <w:left w:val="single" w:sz="4" w:space="0" w:color="B88D2D" w:themeColor="accent4"/>
          <w:bottom w:val="single" w:sz="4" w:space="0" w:color="B88D2D" w:themeColor="accent4"/>
          <w:right w:val="single" w:sz="4" w:space="0" w:color="B88D2D" w:themeColor="accent4"/>
          <w:insideH w:val="nil"/>
        </w:tcBorders>
        <w:shd w:val="clear" w:color="auto" w:fill="FFFFFF"/>
      </w:tcPr>
    </w:tblStylePr>
    <w:tblStylePr w:type="lastRow">
      <w:rPr>
        <w:rFonts w:asciiTheme="majorHAnsi" w:hAnsiTheme="majorHAnsi"/>
        <w:b/>
        <w:bCs/>
      </w:rPr>
      <w:tblPr/>
      <w:tcPr>
        <w:tcBorders>
          <w:top w:val="double" w:sz="4" w:space="0" w:color="B88D2D"/>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5">
    <w:name w:val="List Table 4 Accent 5"/>
    <w:basedOn w:val="TableNormal"/>
    <w:uiPriority w:val="49"/>
    <w:locked/>
    <w:rsid w:val="000B3F28"/>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tblBorders>
    </w:tblPr>
    <w:tblStylePr w:type="firstRow">
      <w:rPr>
        <w:rFonts w:asciiTheme="majorHAnsi" w:hAnsiTheme="majorHAnsi"/>
        <w:b/>
        <w:bCs/>
        <w:color w:val="414042"/>
      </w:rPr>
      <w:tblPr/>
      <w:tcPr>
        <w:tcBorders>
          <w:top w:val="single" w:sz="4" w:space="0" w:color="2BA484" w:themeColor="accent5"/>
          <w:left w:val="single" w:sz="4" w:space="0" w:color="2BA484" w:themeColor="accent5"/>
          <w:bottom w:val="single" w:sz="4" w:space="0" w:color="2BA484" w:themeColor="accent5"/>
          <w:right w:val="single" w:sz="4" w:space="0" w:color="2BA484" w:themeColor="accent5"/>
          <w:insideH w:val="nil"/>
        </w:tcBorders>
        <w:shd w:val="clear" w:color="auto" w:fill="FFFFFF"/>
      </w:tcPr>
    </w:tblStylePr>
    <w:tblStylePr w:type="lastRow">
      <w:rPr>
        <w:rFonts w:asciiTheme="majorHAnsi" w:hAnsiTheme="majorHAnsi"/>
        <w:b/>
        <w:bCs/>
      </w:rPr>
      <w:tblPr/>
      <w:tcPr>
        <w:tcBorders>
          <w:top w:val="double" w:sz="4" w:space="0" w:color="2BA484"/>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6">
    <w:name w:val="List Table 4 Accent 6"/>
    <w:basedOn w:val="TableNormal"/>
    <w:uiPriority w:val="49"/>
    <w:locked/>
    <w:rsid w:val="000B3F28"/>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tblBorders>
    </w:tblPr>
    <w:tblStylePr w:type="firstRow">
      <w:rPr>
        <w:rFonts w:asciiTheme="majorHAnsi" w:hAnsiTheme="majorHAnsi"/>
        <w:b/>
        <w:bCs/>
        <w:color w:val="414042"/>
      </w:rPr>
      <w:tblPr/>
      <w:tcPr>
        <w:tcBorders>
          <w:top w:val="single" w:sz="4" w:space="0" w:color="0B9DA2" w:themeColor="accent6"/>
          <w:left w:val="single" w:sz="4" w:space="0" w:color="0B9DA2" w:themeColor="accent6"/>
          <w:bottom w:val="single" w:sz="4" w:space="0" w:color="0B9DA2" w:themeColor="accent6"/>
          <w:right w:val="single" w:sz="4" w:space="0" w:color="0B9DA2" w:themeColor="accent6"/>
          <w:insideH w:val="nil"/>
        </w:tcBorders>
        <w:shd w:val="clear" w:color="auto" w:fill="FFFFFF"/>
      </w:tcPr>
    </w:tblStylePr>
    <w:tblStylePr w:type="lastRow">
      <w:rPr>
        <w:rFonts w:asciiTheme="majorHAnsi" w:hAnsiTheme="majorHAnsi"/>
        <w:b/>
        <w:bCs/>
      </w:rPr>
      <w:tblPr/>
      <w:tcPr>
        <w:tcBorders>
          <w:top w:val="double" w:sz="4" w:space="0" w:color="0B9DA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5Dark">
    <w:name w:val="List Table 5 Dark"/>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2D2D2C" w:themeColor="text1"/>
        <w:left w:val="single" w:sz="24" w:space="0" w:color="2D2D2C" w:themeColor="text1"/>
        <w:bottom w:val="single" w:sz="24" w:space="0" w:color="2D2D2C" w:themeColor="text1"/>
        <w:right w:val="single" w:sz="24" w:space="0" w:color="2D2D2C" w:themeColor="text1"/>
      </w:tblBorders>
    </w:tblPr>
    <w:tcPr>
      <w:shd w:val="clear" w:color="auto" w:fill="2D2D2C" w:themeFill="text1"/>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A9212A"/>
        <w:left w:val="single" w:sz="24" w:space="0" w:color="A9212A"/>
        <w:bottom w:val="single" w:sz="24" w:space="0" w:color="A9212A"/>
        <w:right w:val="single" w:sz="24" w:space="0" w:color="A9212A"/>
      </w:tblBorders>
    </w:tblPr>
    <w:tcPr>
      <w:shd w:val="clear" w:color="auto" w:fill="A9212A"/>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9A044A"/>
        <w:left w:val="single" w:sz="24" w:space="0" w:color="9A044A"/>
        <w:bottom w:val="single" w:sz="24" w:space="0" w:color="9A044A"/>
        <w:right w:val="single" w:sz="24" w:space="0" w:color="9A044A"/>
      </w:tblBorders>
    </w:tblPr>
    <w:tcPr>
      <w:shd w:val="clear" w:color="auto" w:fill="9A044A"/>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653250"/>
        <w:left w:val="single" w:sz="24" w:space="0" w:color="653250"/>
        <w:bottom w:val="single" w:sz="24" w:space="0" w:color="653250"/>
        <w:right w:val="single" w:sz="24" w:space="0" w:color="653250"/>
      </w:tblBorders>
    </w:tblPr>
    <w:tcPr>
      <w:shd w:val="clear" w:color="auto" w:fill="653250"/>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004C42"/>
        <w:left w:val="single" w:sz="24" w:space="0" w:color="004C42"/>
        <w:bottom w:val="single" w:sz="24" w:space="0" w:color="004C42"/>
        <w:right w:val="single" w:sz="24" w:space="0" w:color="004C42"/>
      </w:tblBorders>
    </w:tblPr>
    <w:tcPr>
      <w:shd w:val="clear" w:color="auto" w:fill="004C42"/>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005466"/>
        <w:left w:val="single" w:sz="24" w:space="0" w:color="005466"/>
        <w:bottom w:val="single" w:sz="24" w:space="0" w:color="005466"/>
        <w:right w:val="single" w:sz="24" w:space="0" w:color="005466"/>
      </w:tblBorders>
    </w:tblPr>
    <w:tcPr>
      <w:shd w:val="clear" w:color="auto" w:fill="005466"/>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locked/>
    <w:rsid w:val="000B3F28"/>
    <w:pPr>
      <w:spacing w:before="80" w:after="80" w:line="240" w:lineRule="auto"/>
    </w:pPr>
    <w:rPr>
      <w:color w:val="FFFFFF" w:themeColor="background1"/>
    </w:rPr>
    <w:tblPr>
      <w:tblStyleRowBandSize w:val="1"/>
      <w:tblStyleColBandSize w:val="1"/>
      <w:tblBorders>
        <w:top w:val="single" w:sz="24" w:space="0" w:color="052756"/>
        <w:left w:val="single" w:sz="24" w:space="0" w:color="052756"/>
        <w:bottom w:val="single" w:sz="24" w:space="0" w:color="052756"/>
        <w:right w:val="single" w:sz="24" w:space="0" w:color="052756"/>
      </w:tblBorders>
    </w:tblPr>
    <w:tcPr>
      <w:shd w:val="clear" w:color="auto" w:fill="052756"/>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shd w:val="clear" w:color="auto" w:fill="052756"/>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locked/>
    <w:rsid w:val="000B3F28"/>
    <w:pPr>
      <w:spacing w:before="80" w:after="80" w:line="240" w:lineRule="auto"/>
    </w:pPr>
    <w:tblPr>
      <w:tblStyleRowBandSize w:val="1"/>
      <w:tblStyleColBandSize w:val="1"/>
      <w:tblBorders>
        <w:top w:val="single" w:sz="4" w:space="0" w:color="414042"/>
        <w:bottom w:val="single" w:sz="4" w:space="0" w:color="414042"/>
      </w:tblBorders>
    </w:tblPr>
    <w:tblStylePr w:type="firstRow">
      <w:rPr>
        <w:rFonts w:asciiTheme="majorHAnsi" w:hAnsiTheme="majorHAnsi"/>
        <w:b/>
        <w:bCs/>
        <w:color w:val="414042"/>
      </w:rPr>
      <w:tblPr/>
      <w:tcPr>
        <w:tcBorders>
          <w:bottom w:val="single" w:sz="4" w:space="0" w:color="414042"/>
        </w:tcBorders>
      </w:tcPr>
    </w:tblStylePr>
    <w:tblStylePr w:type="lastRow">
      <w:rPr>
        <w:rFonts w:asciiTheme="majorHAnsi" w:hAnsiTheme="majorHAnsi"/>
        <w:b/>
        <w:bCs/>
      </w:rPr>
      <w:tblPr/>
      <w:tcPr>
        <w:tcBorders>
          <w:top w:val="double" w:sz="4" w:space="0" w:color="4140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urfulAccent1">
    <w:name w:val="List Table 6 Colorful Accent 1"/>
    <w:basedOn w:val="TableNormal"/>
    <w:uiPriority w:val="51"/>
    <w:locked/>
    <w:rsid w:val="000B3F28"/>
    <w:pPr>
      <w:spacing w:before="80" w:after="80" w:line="240" w:lineRule="auto"/>
    </w:pPr>
    <w:tblPr>
      <w:tblStyleRowBandSize w:val="1"/>
      <w:tblStyleColBandSize w:val="1"/>
      <w:tblBorders>
        <w:top w:val="single" w:sz="4" w:space="0" w:color="A9212A"/>
        <w:bottom w:val="single" w:sz="4" w:space="0" w:color="A9212A"/>
      </w:tblBorders>
    </w:tblPr>
    <w:tblStylePr w:type="firstRow">
      <w:rPr>
        <w:rFonts w:asciiTheme="majorHAnsi" w:hAnsiTheme="majorHAnsi"/>
        <w:b/>
        <w:bCs/>
        <w:color w:val="414042"/>
      </w:rPr>
      <w:tblPr/>
      <w:tcPr>
        <w:tcBorders>
          <w:bottom w:val="single" w:sz="4" w:space="0" w:color="A9212A"/>
        </w:tcBorders>
        <w:shd w:val="clear" w:color="auto" w:fill="FFFFFF"/>
      </w:tcPr>
    </w:tblStylePr>
    <w:tblStylePr w:type="lastRow">
      <w:rPr>
        <w:rFonts w:asciiTheme="majorHAnsi" w:hAnsiTheme="majorHAnsi"/>
        <w:b/>
        <w:bCs/>
        <w:color w:val="414042"/>
      </w:rPr>
      <w:tblPr/>
      <w:tcPr>
        <w:tcBorders>
          <w:top w:val="double" w:sz="4" w:space="0" w:color="A9212A"/>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urfulAccent2">
    <w:name w:val="List Table 6 Colorful Accent 2"/>
    <w:basedOn w:val="TableNormal"/>
    <w:uiPriority w:val="51"/>
    <w:locked/>
    <w:rsid w:val="000B3F28"/>
    <w:pPr>
      <w:spacing w:before="80" w:after="80" w:line="240" w:lineRule="auto"/>
    </w:pPr>
    <w:tblPr>
      <w:tblStyleRowBandSize w:val="1"/>
      <w:tblStyleColBandSize w:val="1"/>
      <w:tblBorders>
        <w:top w:val="single" w:sz="4" w:space="0" w:color="9A044A"/>
        <w:bottom w:val="single" w:sz="4" w:space="0" w:color="9A044A"/>
      </w:tblBorders>
    </w:tblPr>
    <w:tblStylePr w:type="firstRow">
      <w:rPr>
        <w:rFonts w:asciiTheme="majorHAnsi" w:hAnsiTheme="majorHAnsi"/>
        <w:b/>
        <w:bCs/>
        <w:color w:val="414042"/>
      </w:rPr>
      <w:tblPr/>
      <w:tcPr>
        <w:tcBorders>
          <w:bottom w:val="single" w:sz="4" w:space="0" w:color="9A044A"/>
        </w:tcBorders>
        <w:shd w:val="clear" w:color="auto" w:fill="FFFFFF"/>
      </w:tcPr>
    </w:tblStylePr>
    <w:tblStylePr w:type="lastRow">
      <w:rPr>
        <w:rFonts w:asciiTheme="majorHAnsi" w:hAnsiTheme="majorHAnsi"/>
        <w:b/>
        <w:bCs/>
      </w:rPr>
      <w:tblPr/>
      <w:tcPr>
        <w:tcBorders>
          <w:top w:val="double" w:sz="4" w:space="0" w:color="9A044A"/>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urfulAccent3">
    <w:name w:val="List Table 6 Colorful Accent 3"/>
    <w:basedOn w:val="TableNormal"/>
    <w:uiPriority w:val="51"/>
    <w:locked/>
    <w:rsid w:val="000B3F28"/>
    <w:pPr>
      <w:spacing w:before="80" w:after="80" w:line="240" w:lineRule="auto"/>
    </w:pPr>
    <w:tblPr>
      <w:tblStyleRowBandSize w:val="1"/>
      <w:tblStyleColBandSize w:val="1"/>
      <w:tblBorders>
        <w:top w:val="single" w:sz="4" w:space="0" w:color="653250"/>
        <w:bottom w:val="single" w:sz="4" w:space="0" w:color="653250"/>
      </w:tblBorders>
    </w:tblPr>
    <w:tblStylePr w:type="firstRow">
      <w:rPr>
        <w:rFonts w:asciiTheme="majorHAnsi" w:hAnsiTheme="majorHAnsi"/>
        <w:b/>
        <w:bCs/>
        <w:color w:val="414042"/>
      </w:rPr>
      <w:tblPr/>
      <w:tcPr>
        <w:tcBorders>
          <w:bottom w:val="single" w:sz="4" w:space="0" w:color="653250"/>
        </w:tcBorders>
        <w:shd w:val="clear" w:color="auto" w:fill="FFFFFF"/>
      </w:tcPr>
    </w:tblStylePr>
    <w:tblStylePr w:type="lastRow">
      <w:rPr>
        <w:rFonts w:asciiTheme="majorHAnsi" w:hAnsiTheme="majorHAnsi"/>
        <w:b/>
        <w:bCs/>
        <w:color w:val="414042"/>
      </w:rPr>
      <w:tblPr/>
      <w:tcPr>
        <w:tcBorders>
          <w:top w:val="double" w:sz="4" w:space="0" w:color="653250"/>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urfulAccent4">
    <w:name w:val="List Table 6 Colorful Accent 4"/>
    <w:basedOn w:val="TableNormal"/>
    <w:uiPriority w:val="51"/>
    <w:locked/>
    <w:rsid w:val="000B3F28"/>
    <w:pPr>
      <w:spacing w:before="80" w:after="80" w:line="240" w:lineRule="auto"/>
    </w:pPr>
    <w:tblPr>
      <w:tblStyleRowBandSize w:val="1"/>
      <w:tblStyleColBandSize w:val="1"/>
      <w:tblBorders>
        <w:top w:val="single" w:sz="4" w:space="0" w:color="004C42"/>
        <w:bottom w:val="single" w:sz="4" w:space="0" w:color="004C42"/>
      </w:tblBorders>
    </w:tblPr>
    <w:tblStylePr w:type="firstRow">
      <w:rPr>
        <w:rFonts w:asciiTheme="majorHAnsi" w:hAnsiTheme="majorHAnsi"/>
        <w:b/>
        <w:bCs/>
        <w:color w:val="414042"/>
      </w:rPr>
      <w:tblPr/>
      <w:tcPr>
        <w:tcBorders>
          <w:bottom w:val="single" w:sz="4" w:space="0" w:color="004C42"/>
        </w:tcBorders>
        <w:shd w:val="clear" w:color="auto" w:fill="FFFFFF"/>
      </w:tcPr>
    </w:tblStylePr>
    <w:tblStylePr w:type="lastRow">
      <w:rPr>
        <w:rFonts w:asciiTheme="majorHAnsi" w:hAnsiTheme="majorHAnsi"/>
        <w:b/>
        <w:bCs/>
        <w:color w:val="414042"/>
      </w:rPr>
      <w:tblPr/>
      <w:tcPr>
        <w:tcBorders>
          <w:top w:val="double" w:sz="4" w:space="0" w:color="004C42"/>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urfulAccent5">
    <w:name w:val="List Table 6 Colorful Accent 5"/>
    <w:basedOn w:val="TableNormal"/>
    <w:uiPriority w:val="51"/>
    <w:locked/>
    <w:rsid w:val="000B3F28"/>
    <w:pPr>
      <w:spacing w:before="80" w:after="80" w:line="240" w:lineRule="auto"/>
    </w:pPr>
    <w:tblPr>
      <w:tblStyleRowBandSize w:val="1"/>
      <w:tblStyleColBandSize w:val="1"/>
      <w:tblBorders>
        <w:top w:val="single" w:sz="4" w:space="0" w:color="005466"/>
        <w:bottom w:val="single" w:sz="4" w:space="0" w:color="005466"/>
      </w:tblBorders>
    </w:tblPr>
    <w:tblStylePr w:type="firstRow">
      <w:rPr>
        <w:rFonts w:asciiTheme="majorHAnsi" w:hAnsiTheme="majorHAnsi"/>
        <w:b/>
        <w:bCs/>
        <w:color w:val="414042"/>
      </w:rPr>
      <w:tblPr/>
      <w:tcPr>
        <w:tcBorders>
          <w:bottom w:val="single" w:sz="4" w:space="0" w:color="005466"/>
        </w:tcBorders>
        <w:shd w:val="clear" w:color="auto" w:fill="FFFFFF"/>
      </w:tcPr>
    </w:tblStylePr>
    <w:tblStylePr w:type="lastRow">
      <w:rPr>
        <w:rFonts w:asciiTheme="majorHAnsi" w:hAnsiTheme="majorHAnsi"/>
        <w:b/>
        <w:bCs/>
      </w:rPr>
      <w:tblPr/>
      <w:tcPr>
        <w:tcBorders>
          <w:top w:val="double" w:sz="4" w:space="0" w:color="005466"/>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urfulAccent6">
    <w:name w:val="List Table 6 Colorful Accent 6"/>
    <w:basedOn w:val="TableNormal"/>
    <w:uiPriority w:val="51"/>
    <w:locked/>
    <w:rsid w:val="000B3F28"/>
    <w:pPr>
      <w:spacing w:before="80" w:after="80" w:line="240" w:lineRule="auto"/>
    </w:pPr>
    <w:tblPr>
      <w:tblStyleRowBandSize w:val="1"/>
      <w:tblStyleColBandSize w:val="1"/>
      <w:tblBorders>
        <w:top w:val="single" w:sz="4" w:space="0" w:color="052756"/>
        <w:bottom w:val="single" w:sz="4" w:space="0" w:color="052756"/>
      </w:tblBorders>
    </w:tblPr>
    <w:tblStylePr w:type="firstRow">
      <w:rPr>
        <w:rFonts w:asciiTheme="majorHAnsi" w:hAnsiTheme="majorHAnsi"/>
        <w:b/>
        <w:bCs/>
        <w:color w:val="414042"/>
      </w:rPr>
      <w:tblPr/>
      <w:tcPr>
        <w:tcBorders>
          <w:bottom w:val="single" w:sz="4" w:space="0" w:color="052756"/>
        </w:tcBorders>
      </w:tcPr>
    </w:tblStylePr>
    <w:tblStylePr w:type="lastRow">
      <w:rPr>
        <w:rFonts w:asciiTheme="majorHAnsi" w:hAnsiTheme="majorHAnsi"/>
        <w:b/>
        <w:bCs/>
      </w:rPr>
      <w:tblPr/>
      <w:tcPr>
        <w:tcBorders>
          <w:top w:val="double" w:sz="4" w:space="0" w:color="052756"/>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7Colourful">
    <w:name w:val="List Table 7 Colorful"/>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i/>
        <w:iCs/>
        <w:sz w:val="24"/>
      </w:rPr>
      <w:tblPr/>
      <w:tcPr>
        <w:tcBorders>
          <w:bottom w:val="single" w:sz="4" w:space="0" w:color="414042"/>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414042"/>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2D2D2C" w:themeColor="text1"/>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2D2D2C" w:themeColor="text1"/>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C90774"/>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C90774"/>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C90774"/>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C90774"/>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E7333F"/>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E7333F"/>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E7333F"/>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E7333F"/>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E37608"/>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E37608"/>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E37608"/>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E37608"/>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B88D2D"/>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B88D2D"/>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B88D2D"/>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B88D2D"/>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i/>
        <w:iCs/>
        <w:sz w:val="24"/>
      </w:rPr>
      <w:tblPr/>
      <w:tcPr>
        <w:tcBorders>
          <w:bottom w:val="single" w:sz="4" w:space="0" w:color="2BA484"/>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2BA484"/>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2BA484"/>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2BA484"/>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locked/>
    <w:rsid w:val="000B3F28"/>
    <w:pPr>
      <w:spacing w:before="80" w:after="80" w:line="240" w:lineRule="auto"/>
    </w:pPr>
    <w:tblPr>
      <w:tblStyleRowBandSize w:val="1"/>
      <w:tblStyleColBandSize w:val="1"/>
    </w:tblPr>
    <w:tblStylePr w:type="firstRow">
      <w:rPr>
        <w:rFonts w:asciiTheme="majorHAnsi" w:eastAsiaTheme="majorEastAsia" w:hAnsiTheme="majorHAnsi" w:cstheme="majorBidi"/>
        <w:i/>
        <w:iCs/>
        <w:sz w:val="24"/>
      </w:rPr>
      <w:tblPr/>
      <w:tcPr>
        <w:tcBorders>
          <w:bottom w:val="single" w:sz="4" w:space="0" w:color="0B9DA2"/>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0B9DA2"/>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0B9DA2"/>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0B9DA2"/>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locked/>
    <w:rsid w:val="000B3F28"/>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Pr>
    <w:tblStylePr w:type="firstRow">
      <w:rPr>
        <w:rFonts w:asciiTheme="majorHAnsi" w:hAnsiTheme="majorHAnsi"/>
        <w:b/>
        <w:bCs/>
      </w:rPr>
      <w:tblPr/>
      <w:tcPr>
        <w:tcBorders>
          <w:bottom w:val="single" w:sz="12" w:space="0" w:color="414042"/>
        </w:tcBorders>
      </w:tcPr>
    </w:tblStylePr>
    <w:tblStylePr w:type="lastRow">
      <w:rPr>
        <w:rFonts w:asciiTheme="majorHAnsi" w:hAnsiTheme="majorHAnsi"/>
        <w:b/>
        <w:bCs/>
      </w:rPr>
      <w:tblPr/>
      <w:tcPr>
        <w:tcBorders>
          <w:top w:val="double" w:sz="2" w:space="0" w:color="414042"/>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1">
    <w:name w:val="Grid Table 1 Light Accent 1"/>
    <w:basedOn w:val="TableNormal"/>
    <w:uiPriority w:val="46"/>
    <w:locked/>
    <w:rsid w:val="000B3F28"/>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insideV w:val="single" w:sz="4" w:space="0" w:color="C90774"/>
      </w:tblBorders>
    </w:tblPr>
    <w:tblStylePr w:type="firstRow">
      <w:rPr>
        <w:rFonts w:asciiTheme="majorHAnsi" w:hAnsiTheme="majorHAnsi"/>
        <w:b/>
        <w:bCs/>
      </w:rPr>
      <w:tblPr/>
      <w:tcPr>
        <w:tcBorders>
          <w:bottom w:val="single" w:sz="12" w:space="0" w:color="C90774"/>
        </w:tcBorders>
      </w:tcPr>
    </w:tblStylePr>
    <w:tblStylePr w:type="lastRow">
      <w:rPr>
        <w:rFonts w:asciiTheme="majorHAnsi" w:hAnsiTheme="majorHAnsi"/>
        <w:b/>
        <w:bCs/>
      </w:rPr>
      <w:tblPr/>
      <w:tcPr>
        <w:tcBorders>
          <w:top w:val="double" w:sz="2" w:space="0" w:color="C90774"/>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2">
    <w:name w:val="Grid Table 1 Light Accent 2"/>
    <w:basedOn w:val="TableNormal"/>
    <w:uiPriority w:val="46"/>
    <w:locked/>
    <w:rsid w:val="000B3F28"/>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insideV w:val="single" w:sz="4" w:space="0" w:color="E7333F"/>
      </w:tblBorders>
    </w:tblPr>
    <w:tblStylePr w:type="firstRow">
      <w:rPr>
        <w:rFonts w:asciiTheme="majorHAnsi" w:hAnsiTheme="majorHAnsi"/>
        <w:b/>
        <w:bCs/>
      </w:rPr>
      <w:tblPr/>
      <w:tcPr>
        <w:tcBorders>
          <w:bottom w:val="single" w:sz="12" w:space="0" w:color="E7333F"/>
        </w:tcBorders>
      </w:tcPr>
    </w:tblStylePr>
    <w:tblStylePr w:type="lastRow">
      <w:rPr>
        <w:rFonts w:asciiTheme="majorHAnsi" w:hAnsiTheme="majorHAnsi"/>
        <w:b/>
        <w:bCs/>
      </w:rPr>
      <w:tblPr/>
      <w:tcPr>
        <w:tcBorders>
          <w:top w:val="double" w:sz="2" w:space="0" w:color="E7333F"/>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3">
    <w:name w:val="Grid Table 1 Light Accent 3"/>
    <w:basedOn w:val="TableNormal"/>
    <w:uiPriority w:val="46"/>
    <w:locked/>
    <w:rsid w:val="000B3F28"/>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insideV w:val="single" w:sz="4" w:space="0" w:color="E37608"/>
      </w:tblBorders>
    </w:tblPr>
    <w:tblStylePr w:type="firstRow">
      <w:rPr>
        <w:rFonts w:asciiTheme="majorHAnsi" w:hAnsiTheme="majorHAnsi"/>
        <w:b/>
        <w:bCs/>
      </w:rPr>
      <w:tblPr/>
      <w:tcPr>
        <w:tcBorders>
          <w:bottom w:val="single" w:sz="12" w:space="0" w:color="E37608"/>
        </w:tcBorders>
      </w:tcPr>
    </w:tblStylePr>
    <w:tblStylePr w:type="lastRow">
      <w:rPr>
        <w:rFonts w:asciiTheme="majorHAnsi" w:hAnsiTheme="majorHAnsi"/>
        <w:b/>
        <w:bCs/>
      </w:rPr>
      <w:tblPr/>
      <w:tcPr>
        <w:tcBorders>
          <w:top w:val="double" w:sz="2" w:space="0" w:color="E37608"/>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4">
    <w:name w:val="Grid Table 1 Light Accent 4"/>
    <w:basedOn w:val="TableNormal"/>
    <w:uiPriority w:val="46"/>
    <w:locked/>
    <w:rsid w:val="000B3F28"/>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insideV w:val="single" w:sz="4" w:space="0" w:color="B88D2D"/>
      </w:tblBorders>
    </w:tblPr>
    <w:tblStylePr w:type="firstRow">
      <w:rPr>
        <w:rFonts w:asciiTheme="majorHAnsi" w:hAnsiTheme="majorHAnsi"/>
        <w:b/>
        <w:bCs/>
      </w:rPr>
      <w:tblPr/>
      <w:tcPr>
        <w:tcBorders>
          <w:bottom w:val="single" w:sz="12" w:space="0" w:color="B88D2D"/>
        </w:tcBorders>
      </w:tcPr>
    </w:tblStylePr>
    <w:tblStylePr w:type="lastRow">
      <w:rPr>
        <w:rFonts w:asciiTheme="majorHAnsi" w:hAnsiTheme="majorHAnsi"/>
        <w:b/>
        <w:bCs/>
      </w:rPr>
      <w:tblPr/>
      <w:tcPr>
        <w:tcBorders>
          <w:top w:val="double" w:sz="2" w:space="0" w:color="B88D2D"/>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5">
    <w:name w:val="Grid Table 1 Light Accent 5"/>
    <w:basedOn w:val="TableNormal"/>
    <w:uiPriority w:val="46"/>
    <w:locked/>
    <w:rsid w:val="000B3F28"/>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insideV w:val="single" w:sz="4" w:space="0" w:color="2BA484"/>
      </w:tblBorders>
    </w:tblPr>
    <w:tblStylePr w:type="firstRow">
      <w:rPr>
        <w:rFonts w:asciiTheme="majorHAnsi" w:hAnsiTheme="majorHAnsi"/>
        <w:b/>
        <w:bCs/>
      </w:rPr>
      <w:tblPr/>
      <w:tcPr>
        <w:tcBorders>
          <w:bottom w:val="single" w:sz="12" w:space="0" w:color="2BA484"/>
        </w:tcBorders>
      </w:tcPr>
    </w:tblStylePr>
    <w:tblStylePr w:type="lastRow">
      <w:rPr>
        <w:rFonts w:asciiTheme="majorHAnsi" w:hAnsiTheme="majorHAnsi"/>
        <w:b/>
        <w:bCs/>
      </w:rPr>
      <w:tblPr/>
      <w:tcPr>
        <w:tcBorders>
          <w:top w:val="double" w:sz="2" w:space="0" w:color="2BA484"/>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6">
    <w:name w:val="Grid Table 1 Light Accent 6"/>
    <w:basedOn w:val="TableNormal"/>
    <w:uiPriority w:val="46"/>
    <w:locked/>
    <w:rsid w:val="000B3F28"/>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insideV w:val="single" w:sz="4" w:space="0" w:color="0B9DA2"/>
      </w:tblBorders>
    </w:tblPr>
    <w:tblStylePr w:type="firstRow">
      <w:rPr>
        <w:rFonts w:asciiTheme="majorHAnsi" w:hAnsiTheme="majorHAnsi"/>
        <w:b/>
        <w:bCs/>
      </w:rPr>
      <w:tblPr/>
      <w:tcPr>
        <w:tcBorders>
          <w:bottom w:val="single" w:sz="12" w:space="0" w:color="0B9DA2"/>
        </w:tcBorders>
      </w:tcPr>
    </w:tblStylePr>
    <w:tblStylePr w:type="lastRow">
      <w:rPr>
        <w:rFonts w:asciiTheme="majorHAnsi" w:hAnsiTheme="majorHAnsi"/>
        <w:b/>
        <w:bCs/>
      </w:rPr>
      <w:tblPr/>
      <w:tcPr>
        <w:tcBorders>
          <w:top w:val="double" w:sz="2" w:space="0" w:color="0B9DA2"/>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2">
    <w:name w:val="Grid Table 2"/>
    <w:basedOn w:val="TableNormal"/>
    <w:uiPriority w:val="47"/>
    <w:locked/>
    <w:rsid w:val="000B3F28"/>
    <w:pPr>
      <w:spacing w:before="80" w:after="80" w:line="240" w:lineRule="auto"/>
    </w:pPr>
    <w:tblPr>
      <w:tblStyleRowBandSize w:val="1"/>
      <w:tblStyleColBandSize w:val="1"/>
      <w:tblBorders>
        <w:top w:val="single" w:sz="2" w:space="0" w:color="414042"/>
        <w:bottom w:val="single" w:sz="2" w:space="0" w:color="414042"/>
        <w:insideH w:val="single" w:sz="2" w:space="0" w:color="414042"/>
        <w:insideV w:val="single" w:sz="2" w:space="0" w:color="414042"/>
      </w:tblBorders>
    </w:tblPr>
    <w:tblStylePr w:type="firstRow">
      <w:rPr>
        <w:rFonts w:asciiTheme="majorHAnsi" w:hAnsiTheme="majorHAnsi"/>
        <w:b/>
        <w:bCs/>
      </w:rPr>
      <w:tblPr/>
      <w:tcPr>
        <w:tcBorders>
          <w:top w:val="nil"/>
          <w:bottom w:val="single" w:sz="12" w:space="0" w:color="414042"/>
          <w:insideH w:val="nil"/>
          <w:insideV w:val="nil"/>
        </w:tcBorders>
        <w:shd w:val="clear" w:color="auto" w:fill="FFFFFF" w:themeFill="background1"/>
      </w:tcPr>
    </w:tblStylePr>
    <w:tblStylePr w:type="lastRow">
      <w:rPr>
        <w:rFonts w:asciiTheme="majorHAnsi" w:hAnsiTheme="majorHAnsi"/>
        <w:b/>
        <w:bCs/>
      </w:rPr>
      <w:tblPr/>
      <w:tcPr>
        <w:tcBorders>
          <w:top w:val="double" w:sz="2" w:space="0" w:color="414042"/>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2-Accent1">
    <w:name w:val="Grid Table 2 Accent 1"/>
    <w:basedOn w:val="TableNormal"/>
    <w:uiPriority w:val="47"/>
    <w:locked/>
    <w:rsid w:val="000B3F28"/>
    <w:pPr>
      <w:spacing w:before="80" w:after="80" w:line="240" w:lineRule="auto"/>
    </w:pPr>
    <w:tblPr>
      <w:tblStyleRowBandSize w:val="1"/>
      <w:tblStyleColBandSize w:val="1"/>
      <w:tblBorders>
        <w:top w:val="single" w:sz="2" w:space="0" w:color="C90774"/>
        <w:bottom w:val="single" w:sz="2" w:space="0" w:color="C90774"/>
        <w:insideH w:val="single" w:sz="2" w:space="0" w:color="C90774"/>
        <w:insideV w:val="single" w:sz="2" w:space="0" w:color="C90774"/>
      </w:tblBorders>
    </w:tblPr>
    <w:tblStylePr w:type="firstRow">
      <w:rPr>
        <w:rFonts w:asciiTheme="majorHAnsi" w:hAnsiTheme="majorHAnsi"/>
        <w:b/>
        <w:bCs/>
      </w:rPr>
      <w:tblPr/>
      <w:tcPr>
        <w:tcBorders>
          <w:top w:val="nil"/>
          <w:bottom w:val="single" w:sz="12" w:space="0" w:color="C90774"/>
          <w:insideH w:val="nil"/>
          <w:insideV w:val="nil"/>
        </w:tcBorders>
        <w:shd w:val="clear" w:color="auto" w:fill="FFFFFF" w:themeFill="background1"/>
      </w:tcPr>
    </w:tblStylePr>
    <w:tblStylePr w:type="lastRow">
      <w:rPr>
        <w:rFonts w:asciiTheme="majorHAnsi" w:hAnsiTheme="majorHAnsi"/>
        <w:b/>
        <w:bCs/>
      </w:rPr>
      <w:tblPr/>
      <w:tcPr>
        <w:tcBorders>
          <w:top w:val="double" w:sz="2" w:space="0" w:color="C90774"/>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3D9E6"/>
      </w:tcPr>
    </w:tblStylePr>
    <w:tblStylePr w:type="band1Horz">
      <w:tblPr/>
      <w:tcPr>
        <w:shd w:val="clear" w:color="auto" w:fill="F3D9E6"/>
      </w:tcPr>
    </w:tblStylePr>
  </w:style>
  <w:style w:type="table" w:styleId="GridTable2-Accent2">
    <w:name w:val="Grid Table 2 Accent 2"/>
    <w:basedOn w:val="TableNormal"/>
    <w:uiPriority w:val="47"/>
    <w:locked/>
    <w:rsid w:val="000B3F28"/>
    <w:pPr>
      <w:spacing w:before="80" w:after="80" w:line="240" w:lineRule="auto"/>
    </w:pPr>
    <w:tblPr>
      <w:tblStyleRowBandSize w:val="1"/>
      <w:tblStyleColBandSize w:val="1"/>
      <w:tblBorders>
        <w:top w:val="single" w:sz="2" w:space="0" w:color="E7333F"/>
        <w:bottom w:val="single" w:sz="2" w:space="0" w:color="E7333F"/>
        <w:insideH w:val="single" w:sz="2" w:space="0" w:color="E7333F"/>
        <w:insideV w:val="single" w:sz="2" w:space="0" w:color="E7333F"/>
      </w:tblBorders>
    </w:tblPr>
    <w:tblStylePr w:type="firstRow">
      <w:rPr>
        <w:rFonts w:asciiTheme="majorHAnsi" w:hAnsiTheme="majorHAnsi"/>
        <w:b/>
        <w:bCs/>
      </w:rPr>
      <w:tblPr/>
      <w:tcPr>
        <w:tcBorders>
          <w:top w:val="nil"/>
          <w:bottom w:val="single" w:sz="12" w:space="0" w:color="E7333F"/>
          <w:insideH w:val="nil"/>
          <w:insideV w:val="nil"/>
        </w:tcBorders>
        <w:shd w:val="clear" w:color="auto" w:fill="FFFFFF" w:themeFill="background1"/>
      </w:tcPr>
    </w:tblStylePr>
    <w:tblStylePr w:type="lastRow">
      <w:rPr>
        <w:rFonts w:asciiTheme="majorHAnsi" w:hAnsiTheme="majorHAnsi"/>
        <w:b/>
        <w:bCs/>
      </w:rPr>
      <w:tblPr/>
      <w:tcPr>
        <w:tcBorders>
          <w:top w:val="double" w:sz="2" w:space="0" w:color="E7333F"/>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CDED6"/>
      </w:tcPr>
    </w:tblStylePr>
    <w:tblStylePr w:type="band1Horz">
      <w:tblPr/>
      <w:tcPr>
        <w:shd w:val="clear" w:color="auto" w:fill="FCDED6"/>
      </w:tcPr>
    </w:tblStylePr>
  </w:style>
  <w:style w:type="table" w:styleId="GridTable2-Accent3">
    <w:name w:val="Grid Table 2 Accent 3"/>
    <w:basedOn w:val="TableNormal"/>
    <w:uiPriority w:val="47"/>
    <w:locked/>
    <w:rsid w:val="000B3F28"/>
    <w:pPr>
      <w:spacing w:before="80" w:after="80" w:line="240" w:lineRule="auto"/>
    </w:pPr>
    <w:tblPr>
      <w:tblStyleRowBandSize w:val="1"/>
      <w:tblStyleColBandSize w:val="1"/>
      <w:tblBorders>
        <w:top w:val="single" w:sz="2" w:space="0" w:color="E37608"/>
        <w:bottom w:val="single" w:sz="2" w:space="0" w:color="E37608"/>
        <w:insideH w:val="single" w:sz="2" w:space="0" w:color="E37608"/>
        <w:insideV w:val="single" w:sz="2" w:space="0" w:color="E37608"/>
      </w:tblBorders>
    </w:tblPr>
    <w:tblStylePr w:type="firstRow">
      <w:rPr>
        <w:rFonts w:asciiTheme="majorHAnsi" w:hAnsiTheme="majorHAnsi"/>
        <w:b/>
        <w:bCs/>
      </w:rPr>
      <w:tblPr/>
      <w:tcPr>
        <w:tcBorders>
          <w:top w:val="nil"/>
          <w:bottom w:val="single" w:sz="12" w:space="0" w:color="E37608"/>
          <w:insideH w:val="nil"/>
          <w:insideV w:val="nil"/>
        </w:tcBorders>
        <w:shd w:val="clear" w:color="auto" w:fill="FFFFFF" w:themeFill="background1"/>
      </w:tcPr>
    </w:tblStylePr>
    <w:tblStylePr w:type="lastRow">
      <w:rPr>
        <w:rFonts w:asciiTheme="majorHAnsi" w:hAnsiTheme="majorHAnsi"/>
        <w:b/>
        <w:bCs/>
      </w:rPr>
      <w:tblPr/>
      <w:tcPr>
        <w:tcBorders>
          <w:top w:val="double" w:sz="2" w:space="0" w:color="E37608"/>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BE5D1"/>
      </w:tcPr>
    </w:tblStylePr>
    <w:tblStylePr w:type="band1Horz">
      <w:tblPr/>
      <w:tcPr>
        <w:shd w:val="clear" w:color="auto" w:fill="FBE5D1"/>
      </w:tcPr>
    </w:tblStylePr>
  </w:style>
  <w:style w:type="table" w:styleId="GridTable2-Accent4">
    <w:name w:val="Grid Table 2 Accent 4"/>
    <w:basedOn w:val="TableNormal"/>
    <w:uiPriority w:val="47"/>
    <w:locked/>
    <w:rsid w:val="000B3F28"/>
    <w:pPr>
      <w:spacing w:before="80" w:after="80" w:line="240" w:lineRule="auto"/>
    </w:pPr>
    <w:tblPr>
      <w:tblStyleRowBandSize w:val="1"/>
      <w:tblStyleColBandSize w:val="1"/>
      <w:tblBorders>
        <w:top w:val="single" w:sz="2" w:space="0" w:color="B88D2D"/>
        <w:bottom w:val="single" w:sz="2" w:space="0" w:color="B88D2D"/>
        <w:insideH w:val="single" w:sz="2" w:space="0" w:color="B88D2D"/>
        <w:insideV w:val="single" w:sz="2" w:space="0" w:color="B88D2D"/>
      </w:tblBorders>
    </w:tblPr>
    <w:tblStylePr w:type="firstRow">
      <w:rPr>
        <w:rFonts w:asciiTheme="majorHAnsi" w:hAnsiTheme="majorHAnsi"/>
        <w:b/>
        <w:bCs/>
      </w:rPr>
      <w:tblPr/>
      <w:tcPr>
        <w:tcBorders>
          <w:top w:val="nil"/>
          <w:bottom w:val="single" w:sz="12" w:space="0" w:color="B88D2D"/>
          <w:insideH w:val="nil"/>
          <w:insideV w:val="nil"/>
        </w:tcBorders>
        <w:shd w:val="clear" w:color="auto" w:fill="FFFFFF" w:themeFill="background1"/>
      </w:tcPr>
    </w:tblStylePr>
    <w:tblStylePr w:type="lastRow">
      <w:rPr>
        <w:rFonts w:asciiTheme="majorHAnsi" w:hAnsiTheme="majorHAnsi"/>
        <w:b/>
        <w:bCs/>
      </w:rPr>
      <w:tblPr/>
      <w:tcPr>
        <w:tcBorders>
          <w:top w:val="double" w:sz="2" w:space="0" w:color="B88D2D"/>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1E6D4"/>
      </w:tcPr>
    </w:tblStylePr>
    <w:tblStylePr w:type="band1Horz">
      <w:tblPr/>
      <w:tcPr>
        <w:shd w:val="clear" w:color="auto" w:fill="F1E6D4"/>
      </w:tcPr>
    </w:tblStylePr>
  </w:style>
  <w:style w:type="table" w:styleId="GridTable2-Accent5">
    <w:name w:val="Grid Table 2 Accent 5"/>
    <w:basedOn w:val="TableNormal"/>
    <w:uiPriority w:val="47"/>
    <w:locked/>
    <w:rsid w:val="000B3F28"/>
    <w:pPr>
      <w:spacing w:before="80" w:after="80" w:line="240" w:lineRule="auto"/>
    </w:pPr>
    <w:tblPr>
      <w:tblStyleRowBandSize w:val="1"/>
      <w:tblStyleColBandSize w:val="1"/>
      <w:tblBorders>
        <w:top w:val="single" w:sz="2" w:space="0" w:color="2BA484"/>
        <w:bottom w:val="single" w:sz="2" w:space="0" w:color="2BA484"/>
        <w:insideH w:val="single" w:sz="2" w:space="0" w:color="2BA484"/>
        <w:insideV w:val="single" w:sz="2" w:space="0" w:color="2BA484"/>
      </w:tblBorders>
    </w:tblPr>
    <w:tblStylePr w:type="firstRow">
      <w:rPr>
        <w:rFonts w:asciiTheme="majorHAnsi" w:hAnsiTheme="majorHAnsi"/>
        <w:b/>
        <w:bCs/>
      </w:rPr>
      <w:tblPr/>
      <w:tcPr>
        <w:tcBorders>
          <w:top w:val="nil"/>
          <w:bottom w:val="single" w:sz="12" w:space="0" w:color="2BA484"/>
          <w:insideH w:val="nil"/>
          <w:insideV w:val="nil"/>
        </w:tcBorders>
        <w:shd w:val="clear" w:color="auto" w:fill="FFFFFF" w:themeFill="background1"/>
      </w:tcPr>
    </w:tblStylePr>
    <w:tblStylePr w:type="lastRow">
      <w:rPr>
        <w:rFonts w:asciiTheme="majorHAnsi" w:hAnsiTheme="majorHAnsi"/>
        <w:b/>
        <w:bCs/>
      </w:rPr>
      <w:tblPr/>
      <w:tcPr>
        <w:tcBorders>
          <w:top w:val="double" w:sz="2" w:space="0" w:color="2BA484"/>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E0EDE7"/>
      </w:tcPr>
    </w:tblStylePr>
    <w:tblStylePr w:type="band1Horz">
      <w:tblPr/>
      <w:tcPr>
        <w:shd w:val="clear" w:color="auto" w:fill="E0EDE7"/>
      </w:tcPr>
    </w:tblStylePr>
  </w:style>
  <w:style w:type="table" w:styleId="GridTable2-Accent6">
    <w:name w:val="Grid Table 2 Accent 6"/>
    <w:basedOn w:val="TableNormal"/>
    <w:uiPriority w:val="47"/>
    <w:locked/>
    <w:rsid w:val="000B3F28"/>
    <w:pPr>
      <w:spacing w:before="80" w:after="80" w:line="240" w:lineRule="auto"/>
    </w:pPr>
    <w:tblPr>
      <w:tblStyleRowBandSize w:val="1"/>
      <w:tblStyleColBandSize w:val="1"/>
      <w:tblBorders>
        <w:top w:val="single" w:sz="2" w:space="0" w:color="0B9DA2"/>
        <w:bottom w:val="single" w:sz="2" w:space="0" w:color="0B9DA2"/>
        <w:insideH w:val="single" w:sz="2" w:space="0" w:color="0B9DA2"/>
        <w:insideV w:val="single" w:sz="2" w:space="0" w:color="0B9DA2"/>
      </w:tblBorders>
    </w:tblPr>
    <w:tblStylePr w:type="firstRow">
      <w:rPr>
        <w:rFonts w:asciiTheme="majorHAnsi" w:hAnsiTheme="majorHAnsi"/>
        <w:b/>
        <w:bCs/>
      </w:rPr>
      <w:tblPr/>
      <w:tcPr>
        <w:tcBorders>
          <w:top w:val="nil"/>
          <w:bottom w:val="single" w:sz="12" w:space="0" w:color="0B9DA2"/>
          <w:insideH w:val="nil"/>
          <w:insideV w:val="nil"/>
        </w:tcBorders>
        <w:shd w:val="clear" w:color="auto" w:fill="FFFFFF" w:themeFill="background1"/>
      </w:tcPr>
    </w:tblStylePr>
    <w:tblStylePr w:type="lastRow">
      <w:rPr>
        <w:rFonts w:asciiTheme="majorHAnsi" w:hAnsiTheme="majorHAnsi"/>
        <w:b/>
        <w:bCs/>
      </w:rPr>
      <w:tblPr/>
      <w:tcPr>
        <w:tcBorders>
          <w:top w:val="double" w:sz="2" w:space="0" w:color="0B9DA2"/>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DEEBED"/>
      </w:tcPr>
    </w:tblStylePr>
    <w:tblStylePr w:type="band1Horz">
      <w:tblPr/>
      <w:tcPr>
        <w:shd w:val="clear" w:color="auto" w:fill="DEEBED"/>
      </w:tcPr>
    </w:tblStylePr>
  </w:style>
  <w:style w:type="table" w:styleId="GridTable3">
    <w:name w:val="Grid Table 3"/>
    <w:basedOn w:val="TableNormal"/>
    <w:uiPriority w:val="48"/>
    <w:locked/>
    <w:rsid w:val="000B3F28"/>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u w:val="none"/>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1">
    <w:name w:val="Grid Table 3 Accent 1"/>
    <w:basedOn w:val="TableNormal"/>
    <w:uiPriority w:val="48"/>
    <w:locked/>
    <w:rsid w:val="000B3F28"/>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insideV w:val="single" w:sz="4" w:space="0" w:color="C90774"/>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3D9E6"/>
      </w:tcPr>
    </w:tblStylePr>
    <w:tblStylePr w:type="band1Horz">
      <w:tblPr/>
      <w:tcPr>
        <w:shd w:val="clear" w:color="auto" w:fill="F3D9E6"/>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PlainTable1">
    <w:name w:val="Plain Table 1"/>
    <w:basedOn w:val="TableNormal"/>
    <w:uiPriority w:val="41"/>
    <w:rsid w:val="000B3F28"/>
    <w:pPr>
      <w:spacing w:before="80" w:after="8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ajorHAnsi" w:hAnsiTheme="majorHAnsi"/>
        <w:b/>
        <w:bCs/>
        <w:i w:val="0"/>
      </w:rPr>
    </w:tblStylePr>
    <w:tblStylePr w:type="lastRow">
      <w:rPr>
        <w:rFonts w:asciiTheme="majorHAnsi" w:hAnsiTheme="majorHAnsi"/>
        <w:b/>
        <w:bCs/>
        <w:i w:val="0"/>
      </w:rPr>
      <w:tblPr/>
      <w:tcPr>
        <w:tcBorders>
          <w:top w:val="double" w:sz="4" w:space="0" w:color="BFBFBF" w:themeColor="background1" w:themeShade="BF"/>
        </w:tcBorders>
      </w:tcPr>
    </w:tblStylePr>
    <w:tblStylePr w:type="firstCol">
      <w:rPr>
        <w:rFonts w:asciiTheme="majorHAnsi" w:hAnsiTheme="majorHAnsi"/>
        <w:b/>
        <w:bCs/>
        <w:i w:val="0"/>
      </w:rPr>
    </w:tblStylePr>
    <w:tblStylePr w:type="lastCol">
      <w:rPr>
        <w:rFonts w:asciiTheme="majorHAnsi" w:hAnsiTheme="majorHAnsi"/>
        <w:b/>
        <w:bCs/>
        <w:i w:val="0"/>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B3F28"/>
    <w:pPr>
      <w:spacing w:before="80" w:after="80" w:line="240" w:lineRule="auto"/>
    </w:pPr>
    <w:tblPr>
      <w:tblStyleRowBandSize w:val="1"/>
      <w:tblStyleColBandSize w:val="1"/>
      <w:tblBorders>
        <w:top w:val="single" w:sz="4" w:space="0" w:color="969694" w:themeColor="text1" w:themeTint="80"/>
        <w:bottom w:val="single" w:sz="4" w:space="0" w:color="969694" w:themeColor="text1" w:themeTint="80"/>
      </w:tblBorders>
    </w:tblPr>
    <w:tblStylePr w:type="firstRow">
      <w:rPr>
        <w:rFonts w:asciiTheme="majorHAnsi" w:hAnsiTheme="majorHAnsi"/>
        <w:b/>
        <w:bCs/>
        <w:i w:val="0"/>
      </w:rPr>
      <w:tblPr/>
      <w:tcPr>
        <w:tcBorders>
          <w:bottom w:val="single" w:sz="4" w:space="0" w:color="969694" w:themeColor="text1" w:themeTint="80"/>
        </w:tcBorders>
      </w:tcPr>
    </w:tblStylePr>
    <w:tblStylePr w:type="lastRow">
      <w:rPr>
        <w:rFonts w:asciiTheme="majorHAnsi" w:hAnsiTheme="majorHAnsi"/>
        <w:b/>
        <w:bCs/>
        <w:i w:val="0"/>
      </w:rPr>
      <w:tblPr/>
      <w:tcPr>
        <w:tcBorders>
          <w:top w:val="single" w:sz="4" w:space="0" w:color="969694" w:themeColor="text1" w:themeTint="80"/>
        </w:tcBorders>
      </w:tcPr>
    </w:tblStylePr>
    <w:tblStylePr w:type="firstCol">
      <w:rPr>
        <w:rFonts w:asciiTheme="majorHAnsi" w:hAnsiTheme="majorHAnsi"/>
        <w:b/>
        <w:bCs/>
        <w:i w:val="0"/>
      </w:rPr>
    </w:tblStylePr>
    <w:tblStylePr w:type="lastCol">
      <w:rPr>
        <w:rFonts w:asciiTheme="majorHAnsi" w:hAnsiTheme="majorHAnsi"/>
        <w:b/>
        <w:bCs/>
        <w:i w:val="0"/>
      </w:rPr>
    </w:tblStylePr>
    <w:tblStylePr w:type="band1Vert">
      <w:tblPr/>
      <w:tcPr>
        <w:tcBorders>
          <w:left w:val="single" w:sz="4" w:space="0" w:color="969694" w:themeColor="text1" w:themeTint="80"/>
          <w:right w:val="single" w:sz="4" w:space="0" w:color="969694" w:themeColor="text1" w:themeTint="80"/>
        </w:tcBorders>
      </w:tcPr>
    </w:tblStylePr>
    <w:tblStylePr w:type="band2Vert">
      <w:tblPr/>
      <w:tcPr>
        <w:tcBorders>
          <w:left w:val="single" w:sz="4" w:space="0" w:color="969694" w:themeColor="text1" w:themeTint="80"/>
          <w:right w:val="single" w:sz="4" w:space="0" w:color="969694" w:themeColor="text1" w:themeTint="80"/>
        </w:tcBorders>
      </w:tcPr>
    </w:tblStylePr>
    <w:tblStylePr w:type="band1Horz">
      <w:tblPr/>
      <w:tcPr>
        <w:tcBorders>
          <w:top w:val="single" w:sz="4" w:space="0" w:color="969694" w:themeColor="text1" w:themeTint="80"/>
          <w:bottom w:val="single" w:sz="4" w:space="0" w:color="969694" w:themeColor="text1" w:themeTint="80"/>
        </w:tcBorders>
      </w:tcPr>
    </w:tblStylePr>
  </w:style>
  <w:style w:type="table" w:styleId="PlainTable3">
    <w:name w:val="Plain Table 3"/>
    <w:basedOn w:val="TableNormal"/>
    <w:uiPriority w:val="43"/>
    <w:rsid w:val="000B3F28"/>
    <w:pPr>
      <w:spacing w:before="80" w:after="80" w:line="240" w:lineRule="auto"/>
    </w:pPr>
    <w:tblPr>
      <w:tblStyleRowBandSize w:val="1"/>
      <w:tblStyleColBandSize w:val="1"/>
    </w:tblPr>
    <w:tblStylePr w:type="firstRow">
      <w:rPr>
        <w:rFonts w:asciiTheme="majorHAnsi" w:hAnsiTheme="majorHAnsi"/>
        <w:b/>
        <w:bCs/>
        <w:i w:val="0"/>
        <w:caps/>
      </w:rPr>
      <w:tblPr/>
      <w:tcPr>
        <w:tcBorders>
          <w:bottom w:val="single" w:sz="4" w:space="0" w:color="969694" w:themeColor="text1" w:themeTint="80"/>
        </w:tcBorders>
      </w:tcPr>
    </w:tblStylePr>
    <w:tblStylePr w:type="lastRow">
      <w:rPr>
        <w:rFonts w:asciiTheme="majorHAnsi" w:hAnsiTheme="majorHAnsi"/>
        <w:b/>
        <w:bCs/>
        <w:i w:val="0"/>
        <w:caps/>
      </w:rPr>
      <w:tblPr/>
      <w:tcPr>
        <w:tcBorders>
          <w:top w:val="nil"/>
        </w:tcBorders>
      </w:tcPr>
    </w:tblStylePr>
    <w:tblStylePr w:type="firstCol">
      <w:rPr>
        <w:rFonts w:asciiTheme="majorHAnsi" w:hAnsiTheme="majorHAnsi"/>
        <w:b/>
        <w:bCs/>
        <w:i w:val="0"/>
        <w:caps/>
      </w:rPr>
      <w:tblPr/>
      <w:tcPr>
        <w:tcBorders>
          <w:right w:val="single" w:sz="4" w:space="0" w:color="969694" w:themeColor="text1" w:themeTint="80"/>
        </w:tcBorders>
      </w:tcPr>
    </w:tblStylePr>
    <w:tblStylePr w:type="lastCol">
      <w:rPr>
        <w:rFonts w:asciiTheme="majorHAnsi" w:hAnsiTheme="majorHAnsi"/>
        <w:b/>
        <w:bCs/>
        <w:i w:val="0"/>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0B3F28"/>
    <w:pPr>
      <w:spacing w:before="80" w:after="80" w:line="240" w:lineRule="auto"/>
    </w:pPr>
    <w:tblPr>
      <w:tblStyleRowBandSize w:val="1"/>
      <w:tblStyleColBandSize w:val="1"/>
    </w:tblPr>
    <w:tblStylePr w:type="firstRow">
      <w:rPr>
        <w:rFonts w:asciiTheme="majorHAnsi" w:eastAsiaTheme="majorEastAsia" w:hAnsiTheme="majorHAnsi" w:cstheme="majorBidi"/>
        <w:b/>
        <w:i/>
        <w:iCs/>
        <w:sz w:val="22"/>
      </w:rPr>
      <w:tblPr/>
      <w:tcPr>
        <w:tcBorders>
          <w:bottom w:val="single" w:sz="4" w:space="0" w:color="969694" w:themeColor="text1" w:themeTint="80"/>
        </w:tcBorders>
        <w:shd w:val="clear" w:color="auto" w:fill="FFFFFF" w:themeFill="background1"/>
      </w:tcPr>
    </w:tblStylePr>
    <w:tblStylePr w:type="lastRow">
      <w:rPr>
        <w:rFonts w:asciiTheme="majorHAnsi" w:eastAsiaTheme="majorEastAsia" w:hAnsiTheme="majorHAnsi" w:cstheme="majorBidi"/>
        <w:b/>
        <w:i/>
        <w:iCs/>
        <w:sz w:val="22"/>
      </w:rPr>
      <w:tblPr/>
      <w:tcPr>
        <w:tcBorders>
          <w:top w:val="single" w:sz="4" w:space="0" w:color="969694" w:themeColor="text1" w:themeTint="80"/>
        </w:tcBorders>
        <w:shd w:val="clear" w:color="auto" w:fill="FFFFFF" w:themeFill="background1"/>
      </w:tcPr>
    </w:tblStylePr>
    <w:tblStylePr w:type="firstCol">
      <w:pPr>
        <w:jc w:val="left"/>
      </w:pPr>
      <w:rPr>
        <w:rFonts w:asciiTheme="majorHAnsi" w:eastAsiaTheme="majorEastAsia" w:hAnsiTheme="majorHAnsi" w:cstheme="majorBidi"/>
        <w:i/>
        <w:iCs/>
        <w:sz w:val="22"/>
      </w:rPr>
      <w:tblPr/>
      <w:tcPr>
        <w:tcBorders>
          <w:right w:val="single" w:sz="4" w:space="0" w:color="969694" w:themeColor="text1" w:themeTint="80"/>
        </w:tcBorders>
        <w:shd w:val="clear" w:color="auto" w:fill="FFFFFF" w:themeFill="background1"/>
      </w:tcPr>
    </w:tblStylePr>
    <w:tblStylePr w:type="lastCol">
      <w:rPr>
        <w:rFonts w:asciiTheme="majorHAnsi" w:eastAsiaTheme="majorEastAsia" w:hAnsiTheme="majorHAnsi" w:cstheme="majorBidi"/>
        <w:i/>
        <w:iCs/>
        <w:sz w:val="22"/>
      </w:rPr>
      <w:tblPr/>
      <w:tcPr>
        <w:tcBorders>
          <w:left w:val="single" w:sz="4" w:space="0" w:color="969694"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2">
    <w:name w:val="Grid Table 3 Accent 2"/>
    <w:basedOn w:val="TableNormal"/>
    <w:uiPriority w:val="48"/>
    <w:locked/>
    <w:rsid w:val="000B3F28"/>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insideV w:val="single" w:sz="4" w:space="0" w:color="E7333F"/>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FCDED6"/>
      </w:tcPr>
    </w:tblStylePr>
    <w:tblStylePr w:type="band1Horz">
      <w:tblPr/>
      <w:tcPr>
        <w:shd w:val="clear" w:color="auto" w:fill="FCDED6"/>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3">
    <w:name w:val="Grid Table 3 Accent 3"/>
    <w:basedOn w:val="TableNormal"/>
    <w:uiPriority w:val="48"/>
    <w:locked/>
    <w:rsid w:val="000B3F28"/>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insideV w:val="single" w:sz="4" w:space="0" w:color="E37608"/>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FBE5D1"/>
      </w:tcPr>
    </w:tblStylePr>
    <w:tblStylePr w:type="band1Horz">
      <w:tblPr/>
      <w:tcPr>
        <w:shd w:val="clear" w:color="auto" w:fill="FBE5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4">
    <w:name w:val="Grid Table 3 Accent 4"/>
    <w:basedOn w:val="TableNormal"/>
    <w:uiPriority w:val="48"/>
    <w:locked/>
    <w:rsid w:val="000B3F28"/>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insideV w:val="single" w:sz="4" w:space="0" w:color="B88D2D"/>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F1E6D4"/>
      </w:tcPr>
    </w:tblStylePr>
    <w:tblStylePr w:type="band1Horz">
      <w:tblPr/>
      <w:tcPr>
        <w:shd w:val="clear" w:color="auto" w:fill="F1E6D4"/>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5">
    <w:name w:val="Grid Table 3 Accent 5"/>
    <w:basedOn w:val="TableNormal"/>
    <w:uiPriority w:val="48"/>
    <w:locked/>
    <w:rsid w:val="000B3F28"/>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insideV w:val="single" w:sz="4" w:space="0" w:color="2BA484"/>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E0EDE7"/>
      </w:tcPr>
    </w:tblStylePr>
    <w:tblStylePr w:type="band1Horz">
      <w:tblPr/>
      <w:tcPr>
        <w:shd w:val="clear" w:color="auto" w:fill="E0EDE7"/>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6">
    <w:name w:val="Grid Table 3 Accent 6"/>
    <w:basedOn w:val="TableNormal"/>
    <w:uiPriority w:val="48"/>
    <w:locked/>
    <w:rsid w:val="000B3F28"/>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insideV w:val="single" w:sz="4" w:space="0" w:color="0B9DA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DEEBED"/>
      </w:tcPr>
    </w:tblStylePr>
    <w:tblStylePr w:type="band1Horz">
      <w:tblPr/>
      <w:tcPr>
        <w:shd w:val="clear" w:color="auto" w:fill="DEEBED"/>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4">
    <w:name w:val="Grid Table 4"/>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414042"/>
          <w:left w:val="single" w:sz="4" w:space="0" w:color="414042"/>
          <w:bottom w:val="single" w:sz="4" w:space="0" w:color="414042"/>
          <w:right w:val="single" w:sz="4" w:space="0" w:color="414042"/>
          <w:insideH w:val="nil"/>
          <w:insideV w:val="nil"/>
        </w:tcBorders>
        <w:shd w:val="clear" w:color="auto" w:fill="414042"/>
      </w:tcPr>
    </w:tblStylePr>
    <w:tblStylePr w:type="lastRow">
      <w:rPr>
        <w:rFonts w:asciiTheme="majorHAnsi" w:hAnsiTheme="majorHAnsi"/>
        <w:b/>
        <w:bCs/>
      </w:rPr>
      <w:tblPr/>
      <w:tcPr>
        <w:tcBorders>
          <w:top w:val="double" w:sz="4" w:space="0" w:color="4140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1">
    <w:name w:val="Grid Table 4 Accent 1"/>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A9212A"/>
          <w:left w:val="single" w:sz="4" w:space="0" w:color="A9212A"/>
          <w:bottom w:val="single" w:sz="4" w:space="0" w:color="A9212A"/>
          <w:right w:val="single" w:sz="4" w:space="0" w:color="A9212A"/>
          <w:insideH w:val="nil"/>
          <w:insideV w:val="nil"/>
        </w:tcBorders>
        <w:shd w:val="clear" w:color="auto" w:fill="A9212A"/>
      </w:tcPr>
    </w:tblStylePr>
    <w:tblStylePr w:type="lastRow">
      <w:rPr>
        <w:rFonts w:asciiTheme="majorHAnsi" w:hAnsiTheme="majorHAnsi"/>
        <w:b/>
        <w:bCs/>
      </w:rPr>
      <w:tblPr/>
      <w:tcPr>
        <w:tcBorders>
          <w:top w:val="double" w:sz="4" w:space="0" w:color="A9212A"/>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2">
    <w:name w:val="Grid Table 4 Accent 2"/>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9A044A"/>
          <w:left w:val="single" w:sz="4" w:space="0" w:color="9A044A"/>
          <w:bottom w:val="single" w:sz="4" w:space="0" w:color="9A044A"/>
          <w:right w:val="single" w:sz="4" w:space="0" w:color="9A044A"/>
          <w:insideH w:val="nil"/>
          <w:insideV w:val="nil"/>
        </w:tcBorders>
        <w:shd w:val="clear" w:color="auto" w:fill="9A044A"/>
      </w:tcPr>
    </w:tblStylePr>
    <w:tblStylePr w:type="lastRow">
      <w:rPr>
        <w:rFonts w:asciiTheme="majorHAnsi" w:hAnsiTheme="majorHAnsi"/>
        <w:b/>
        <w:bCs/>
      </w:rPr>
      <w:tblPr/>
      <w:tcPr>
        <w:tcBorders>
          <w:top w:val="double" w:sz="4" w:space="0" w:color="9A044A"/>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3">
    <w:name w:val="Grid Table 4 Accent 3"/>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653250"/>
          <w:left w:val="single" w:sz="4" w:space="0" w:color="653250"/>
          <w:bottom w:val="single" w:sz="4" w:space="0" w:color="653250"/>
          <w:right w:val="single" w:sz="4" w:space="0" w:color="653250"/>
          <w:insideH w:val="nil"/>
          <w:insideV w:val="nil"/>
        </w:tcBorders>
        <w:shd w:val="clear" w:color="auto" w:fill="653250"/>
      </w:tcPr>
    </w:tblStylePr>
    <w:tblStylePr w:type="lastRow">
      <w:rPr>
        <w:rFonts w:asciiTheme="majorHAnsi" w:hAnsiTheme="majorHAnsi"/>
        <w:b/>
        <w:bCs/>
      </w:rPr>
      <w:tblPr/>
      <w:tcPr>
        <w:tcBorders>
          <w:top w:val="double" w:sz="4" w:space="0" w:color="653250"/>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4">
    <w:name w:val="Grid Table 4 Accent 4"/>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004C42"/>
          <w:left w:val="single" w:sz="4" w:space="0" w:color="004C42"/>
          <w:bottom w:val="single" w:sz="4" w:space="0" w:color="004C42"/>
          <w:right w:val="single" w:sz="4" w:space="0" w:color="004C42"/>
          <w:insideH w:val="nil"/>
          <w:insideV w:val="nil"/>
        </w:tcBorders>
        <w:shd w:val="clear" w:color="auto" w:fill="004C42"/>
      </w:tcPr>
    </w:tblStylePr>
    <w:tblStylePr w:type="lastRow">
      <w:rPr>
        <w:rFonts w:asciiTheme="majorHAnsi" w:hAnsiTheme="majorHAnsi"/>
        <w:b/>
        <w:bCs/>
      </w:rPr>
      <w:tblPr/>
      <w:tcPr>
        <w:tcBorders>
          <w:top w:val="double" w:sz="4" w:space="0" w:color="004C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5">
    <w:name w:val="Grid Table 4 Accent 5"/>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005466"/>
          <w:left w:val="single" w:sz="4" w:space="0" w:color="005466"/>
          <w:bottom w:val="single" w:sz="4" w:space="0" w:color="005466"/>
          <w:right w:val="single" w:sz="4" w:space="0" w:color="005466"/>
          <w:insideH w:val="nil"/>
          <w:insideV w:val="nil"/>
        </w:tcBorders>
        <w:shd w:val="clear" w:color="auto" w:fill="005466"/>
      </w:tcPr>
    </w:tblStylePr>
    <w:tblStylePr w:type="lastRow">
      <w:rPr>
        <w:rFonts w:asciiTheme="majorHAnsi" w:hAnsiTheme="majorHAnsi"/>
        <w:b/>
        <w:bCs/>
      </w:rPr>
      <w:tblPr/>
      <w:tcPr>
        <w:tcBorders>
          <w:top w:val="double" w:sz="4" w:space="0" w:color="005466"/>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tblStylePr w:type="band2Horz">
      <w:tblPr/>
      <w:tcPr>
        <w:shd w:val="clear" w:color="auto" w:fill="FFFFFF" w:themeFill="background1"/>
      </w:tcPr>
    </w:tblStylePr>
  </w:style>
  <w:style w:type="table" w:styleId="GridTable4-Accent6">
    <w:name w:val="Grid Table 4 Accent 6"/>
    <w:basedOn w:val="TableNormal"/>
    <w:uiPriority w:val="49"/>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052756"/>
          <w:left w:val="single" w:sz="4" w:space="0" w:color="052756"/>
          <w:bottom w:val="single" w:sz="4" w:space="0" w:color="052756"/>
          <w:right w:val="single" w:sz="4" w:space="0" w:color="052756"/>
          <w:insideH w:val="nil"/>
          <w:insideV w:val="nil"/>
        </w:tcBorders>
        <w:shd w:val="clear" w:color="auto" w:fill="052756"/>
      </w:tcPr>
    </w:tblStylePr>
    <w:tblStylePr w:type="lastRow">
      <w:rPr>
        <w:rFonts w:asciiTheme="majorHAnsi" w:hAnsiTheme="majorHAnsi"/>
        <w:b/>
        <w:bCs/>
      </w:rPr>
      <w:tblPr/>
      <w:tcPr>
        <w:tcBorders>
          <w:top w:val="double" w:sz="4" w:space="0" w:color="052756"/>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5Dark">
    <w:name w:val="Grid Table 5 Dark"/>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D5D4" w:themeFill="text1"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14042"/>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14042"/>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14042"/>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14042"/>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1">
    <w:name w:val="Grid Table 5 Dark Accent 1"/>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C4E4" w:themeFill="accent1"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212A"/>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212A"/>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212A"/>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212A"/>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2">
    <w:name w:val="Grid Table 5 Dark Accent 2"/>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6D8" w:themeFill="accent2"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044A"/>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044A"/>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044A"/>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044A"/>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3">
    <w:name w:val="Grid Table 5 Dark Accent 3"/>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3C9" w:themeFill="accent3"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53250"/>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53250"/>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53250"/>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53250"/>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4">
    <w:name w:val="Grid Table 5 Dark Accent 4"/>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E9D1" w:themeFill="accent4"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42"/>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42"/>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42"/>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42"/>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5">
    <w:name w:val="Grid Table 5 Dark Accent 5"/>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2E8" w:themeFill="accent5"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466"/>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466"/>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466"/>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466"/>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6">
    <w:name w:val="Grid Table 5 Dark Accent 6"/>
    <w:basedOn w:val="TableNormal"/>
    <w:uiPriority w:val="50"/>
    <w:rsid w:val="000B3F28"/>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F8FA" w:themeFill="accent6"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2756"/>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2756"/>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2756"/>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2756"/>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6Colourful">
    <w:name w:val="Grid Table 6 Colorful"/>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414042"/>
        </w:tcBorders>
        <w:shd w:val="clear" w:color="auto" w:fill="FFFFFF" w:themeFill="background1"/>
      </w:tcPr>
    </w:tblStylePr>
    <w:tblStylePr w:type="lastRow">
      <w:rPr>
        <w:rFonts w:asciiTheme="majorHAnsi" w:hAnsiTheme="majorHAnsi"/>
        <w:b/>
        <w:bCs/>
      </w:rPr>
      <w:tblPr/>
      <w:tcPr>
        <w:tcBorders>
          <w:top w:val="double" w:sz="4" w:space="0" w:color="41404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urfulAccent1">
    <w:name w:val="Grid Table 6 Colorful Accent 1"/>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C90774"/>
        </w:tcBorders>
        <w:shd w:val="clear" w:color="auto" w:fill="FFFFFF" w:themeFill="background1"/>
      </w:tcPr>
    </w:tblStylePr>
    <w:tblStylePr w:type="lastRow">
      <w:rPr>
        <w:rFonts w:asciiTheme="majorHAnsi" w:hAnsiTheme="majorHAnsi"/>
        <w:b/>
        <w:bCs/>
      </w:rPr>
      <w:tblPr/>
      <w:tcPr>
        <w:tcBorders>
          <w:top w:val="double" w:sz="4" w:space="0" w:color="C9077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urfulAccent2">
    <w:name w:val="Grid Table 6 Colorful Accent 2"/>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E7333F"/>
        </w:tcBorders>
        <w:shd w:val="clear" w:color="auto" w:fill="FFFFFF" w:themeFill="background1"/>
      </w:tcPr>
    </w:tblStylePr>
    <w:tblStylePr w:type="lastRow">
      <w:rPr>
        <w:rFonts w:asciiTheme="majorHAnsi" w:hAnsiTheme="majorHAnsi"/>
        <w:b/>
        <w:bCs/>
      </w:rPr>
      <w:tblPr/>
      <w:tcPr>
        <w:tcBorders>
          <w:top w:val="double" w:sz="4" w:space="0" w:color="E7333F"/>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urfulAccent3">
    <w:name w:val="Grid Table 6 Colorful Accent 3"/>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E37608"/>
        </w:tcBorders>
        <w:shd w:val="clear" w:color="auto" w:fill="FFFFFF" w:themeFill="background1"/>
      </w:tcPr>
    </w:tblStylePr>
    <w:tblStylePr w:type="lastRow">
      <w:rPr>
        <w:rFonts w:asciiTheme="majorHAnsi" w:hAnsiTheme="majorHAnsi"/>
        <w:b/>
        <w:bCs/>
      </w:rPr>
      <w:tblPr/>
      <w:tcPr>
        <w:tcBorders>
          <w:top w:val="double" w:sz="4" w:space="0" w:color="E37608"/>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urfulAccent4">
    <w:name w:val="Grid Table 6 Colorful Accent 4"/>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B88D2D"/>
        </w:tcBorders>
        <w:shd w:val="clear" w:color="auto" w:fill="FFFFFF" w:themeFill="background1"/>
      </w:tcPr>
    </w:tblStylePr>
    <w:tblStylePr w:type="lastRow">
      <w:rPr>
        <w:rFonts w:asciiTheme="majorHAnsi" w:hAnsiTheme="majorHAnsi"/>
        <w:b/>
        <w:bCs/>
      </w:rPr>
      <w:tblPr/>
      <w:tcPr>
        <w:tcBorders>
          <w:top w:val="double" w:sz="4" w:space="0" w:color="B88D2D"/>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urfulAccent5">
    <w:name w:val="Grid Table 6 Colorful Accent 5"/>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2BA484"/>
        </w:tcBorders>
        <w:shd w:val="clear" w:color="auto" w:fill="FFFFFF" w:themeFill="background1"/>
      </w:tcPr>
    </w:tblStylePr>
    <w:tblStylePr w:type="lastRow">
      <w:rPr>
        <w:rFonts w:asciiTheme="majorHAnsi" w:hAnsiTheme="majorHAnsi"/>
        <w:b/>
        <w:bCs/>
      </w:rPr>
      <w:tblPr/>
      <w:tcPr>
        <w:tcBorders>
          <w:top w:val="double" w:sz="4" w:space="0" w:color="2BA48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urfulAccent6">
    <w:name w:val="Grid Table 6 Colorful Accent 6"/>
    <w:basedOn w:val="TableNormal"/>
    <w:uiPriority w:val="51"/>
    <w:rsid w:val="000B3F28"/>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0B9DA2"/>
        </w:tcBorders>
        <w:shd w:val="clear" w:color="auto" w:fill="FFFFFF" w:themeFill="background1"/>
      </w:tcPr>
    </w:tblStylePr>
    <w:tblStylePr w:type="lastRow">
      <w:rPr>
        <w:rFonts w:asciiTheme="majorHAnsi" w:hAnsiTheme="majorHAnsi"/>
        <w:b/>
        <w:bCs/>
      </w:rPr>
      <w:tblPr/>
      <w:tcPr>
        <w:tcBorders>
          <w:top w:val="double" w:sz="4" w:space="0" w:color="0B9DA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7Colourful">
    <w:name w:val="Grid Table 7 Colorful"/>
    <w:basedOn w:val="TableNormal"/>
    <w:uiPriority w:val="52"/>
    <w:locked/>
    <w:rsid w:val="000B3F28"/>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414042"/>
        </w:tcBorders>
      </w:tcPr>
    </w:tblStylePr>
    <w:tblStylePr w:type="nwCell">
      <w:tblPr/>
      <w:tcPr>
        <w:tcBorders>
          <w:top w:val="nil"/>
          <w:left w:val="nil"/>
          <w:bottom w:val="single" w:sz="4" w:space="0" w:color="414042"/>
          <w:right w:val="nil"/>
          <w:insideH w:val="nil"/>
          <w:insideV w:val="nil"/>
          <w:tl2br w:val="nil"/>
          <w:tr2bl w:val="nil"/>
        </w:tcBorders>
      </w:tcPr>
    </w:tblStylePr>
    <w:tblStylePr w:type="seCell">
      <w:tblPr/>
      <w:tcPr>
        <w:tcBorders>
          <w:top w:val="single" w:sz="4" w:space="0" w:color="414042"/>
        </w:tcBorders>
      </w:tcPr>
    </w:tblStylePr>
    <w:tblStylePr w:type="swCell">
      <w:tblPr/>
      <w:tcPr>
        <w:tcBorders>
          <w:top w:val="single" w:sz="4" w:space="0" w:color="414042"/>
        </w:tcBorders>
      </w:tcPr>
    </w:tblStylePr>
  </w:style>
  <w:style w:type="table" w:styleId="GridTable7ColourfulAccent1">
    <w:name w:val="Grid Table 7 Colorful Accent 1"/>
    <w:basedOn w:val="TableNormal"/>
    <w:uiPriority w:val="52"/>
    <w:locked/>
    <w:rsid w:val="000B3F28"/>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insideV w:val="single" w:sz="4" w:space="0" w:color="C90774"/>
      </w:tblBorders>
    </w:tblPr>
    <w:tblStylePr w:type="firstRow">
      <w:rPr>
        <w:rFonts w:asciiTheme="majorHAnsi" w:hAnsiTheme="majorHAnsi"/>
        <w:b/>
        <w:bCs/>
      </w:rPr>
      <w:tblPr/>
      <w:tcPr>
        <w:tcBorders>
          <w:top w:val="nil"/>
          <w:left w:val="nil"/>
          <w:bottom w:val="single" w:sz="4" w:space="0" w:color="C90774"/>
          <w:right w:val="nil"/>
          <w:insideH w:val="nil"/>
          <w:insideV w:val="nil"/>
          <w:tl2br w:val="nil"/>
          <w:tr2bl w:val="nil"/>
        </w:tcBorders>
        <w:shd w:val="clear" w:color="auto" w:fill="FFFFFF"/>
      </w:tcPr>
    </w:tblStylePr>
    <w:tblStylePr w:type="lastRow">
      <w:rPr>
        <w:rFonts w:asciiTheme="majorHAnsi" w:hAnsiTheme="majorHAnsi"/>
        <w:b/>
        <w:bCs/>
      </w:rPr>
      <w:tblPr/>
      <w:tcPr>
        <w:tcBorders>
          <w:top w:val="single" w:sz="4" w:space="0" w:color="C90774"/>
          <w:left w:val="nil"/>
          <w:bottom w:val="nil"/>
          <w:right w:val="nil"/>
          <w:insideH w:val="nil"/>
          <w:insideV w:val="nil"/>
          <w:tl2br w:val="nil"/>
          <w:tr2bl w:val="nil"/>
        </w:tcBorders>
        <w:shd w:val="clear" w:color="auto" w:fill="FFFFFF"/>
      </w:tcPr>
    </w:tblStylePr>
    <w:tblStylePr w:type="firstCol">
      <w:pPr>
        <w:jc w:val="left"/>
      </w:pPr>
      <w:rPr>
        <w:rFonts w:asciiTheme="majorHAnsi" w:hAnsiTheme="majorHAnsi"/>
        <w:i/>
        <w:iCs/>
      </w:rPr>
      <w:tblPr/>
      <w:tcPr>
        <w:tcBorders>
          <w:top w:val="nil"/>
          <w:left w:val="nil"/>
          <w:bottom w:val="nil"/>
          <w:right w:val="nil"/>
          <w:insideH w:val="nil"/>
          <w:insideV w:val="nil"/>
          <w:tl2br w:val="nil"/>
          <w:tr2bl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C90774"/>
        </w:tcBorders>
      </w:tcPr>
    </w:tblStylePr>
    <w:tblStylePr w:type="nwCell">
      <w:tblPr/>
      <w:tcPr>
        <w:tcBorders>
          <w:bottom w:val="single" w:sz="4" w:space="0" w:color="C90774"/>
        </w:tcBorders>
      </w:tcPr>
    </w:tblStylePr>
    <w:tblStylePr w:type="seCell">
      <w:tblPr/>
      <w:tcPr>
        <w:tcBorders>
          <w:top w:val="single" w:sz="4" w:space="0" w:color="C90774"/>
        </w:tcBorders>
      </w:tcPr>
    </w:tblStylePr>
    <w:tblStylePr w:type="swCell">
      <w:tblPr/>
      <w:tcPr>
        <w:tcBorders>
          <w:top w:val="single" w:sz="4" w:space="0" w:color="C90774"/>
        </w:tcBorders>
      </w:tcPr>
    </w:tblStylePr>
  </w:style>
  <w:style w:type="table" w:styleId="GridTable7ColourfulAccent2">
    <w:name w:val="Grid Table 7 Colorful Accent 2"/>
    <w:basedOn w:val="TableNormal"/>
    <w:uiPriority w:val="52"/>
    <w:locked/>
    <w:rsid w:val="000B3F28"/>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insideV w:val="single" w:sz="4" w:space="0" w:color="E7333F"/>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E7333F"/>
        </w:tcBorders>
      </w:tcPr>
    </w:tblStylePr>
    <w:tblStylePr w:type="nwCell">
      <w:tblPr/>
      <w:tcPr>
        <w:tcBorders>
          <w:bottom w:val="single" w:sz="4" w:space="0" w:color="E7333F"/>
        </w:tcBorders>
      </w:tcPr>
    </w:tblStylePr>
    <w:tblStylePr w:type="seCell">
      <w:tblPr/>
      <w:tcPr>
        <w:tcBorders>
          <w:top w:val="single" w:sz="4" w:space="0" w:color="E7333F"/>
        </w:tcBorders>
      </w:tcPr>
    </w:tblStylePr>
    <w:tblStylePr w:type="swCell">
      <w:tblPr/>
      <w:tcPr>
        <w:tcBorders>
          <w:top w:val="single" w:sz="4" w:space="0" w:color="E7333F"/>
        </w:tcBorders>
      </w:tcPr>
    </w:tblStylePr>
  </w:style>
  <w:style w:type="table" w:styleId="GridTable7ColourfulAccent3">
    <w:name w:val="Grid Table 7 Colorful Accent 3"/>
    <w:basedOn w:val="TableNormal"/>
    <w:uiPriority w:val="52"/>
    <w:locked/>
    <w:rsid w:val="000B3F28"/>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insideV w:val="single" w:sz="4" w:space="0" w:color="E37608"/>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E37608"/>
        </w:tcBorders>
      </w:tcPr>
    </w:tblStylePr>
    <w:tblStylePr w:type="nwCell">
      <w:tblPr/>
      <w:tcPr>
        <w:tcBorders>
          <w:bottom w:val="single" w:sz="4" w:space="0" w:color="E37608"/>
        </w:tcBorders>
      </w:tcPr>
    </w:tblStylePr>
    <w:tblStylePr w:type="seCell">
      <w:tblPr/>
      <w:tcPr>
        <w:tcBorders>
          <w:top w:val="single" w:sz="4" w:space="0" w:color="E37608"/>
        </w:tcBorders>
      </w:tcPr>
    </w:tblStylePr>
    <w:tblStylePr w:type="swCell">
      <w:tblPr/>
      <w:tcPr>
        <w:tcBorders>
          <w:top w:val="single" w:sz="4" w:space="0" w:color="E37608"/>
        </w:tcBorders>
      </w:tcPr>
    </w:tblStylePr>
  </w:style>
  <w:style w:type="table" w:styleId="GridTable7ColourfulAccent4">
    <w:name w:val="Grid Table 7 Colorful Accent 4"/>
    <w:basedOn w:val="TableNormal"/>
    <w:uiPriority w:val="52"/>
    <w:locked/>
    <w:rsid w:val="000B3F28"/>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insideV w:val="single" w:sz="4" w:space="0" w:color="B88D2D"/>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B88D2D"/>
        </w:tcBorders>
      </w:tcPr>
    </w:tblStylePr>
    <w:tblStylePr w:type="nwCell">
      <w:tblPr/>
      <w:tcPr>
        <w:tcBorders>
          <w:bottom w:val="single" w:sz="4" w:space="0" w:color="B88D2D"/>
        </w:tcBorders>
      </w:tcPr>
    </w:tblStylePr>
    <w:tblStylePr w:type="seCell">
      <w:tblPr/>
      <w:tcPr>
        <w:tcBorders>
          <w:top w:val="single" w:sz="4" w:space="0" w:color="B88D2D"/>
        </w:tcBorders>
      </w:tcPr>
    </w:tblStylePr>
    <w:tblStylePr w:type="swCell">
      <w:tblPr/>
      <w:tcPr>
        <w:tcBorders>
          <w:top w:val="single" w:sz="4" w:space="0" w:color="B88D2D"/>
        </w:tcBorders>
      </w:tcPr>
    </w:tblStylePr>
  </w:style>
  <w:style w:type="table" w:styleId="GridTable7ColourfulAccent5">
    <w:name w:val="Grid Table 7 Colorful Accent 5"/>
    <w:basedOn w:val="TableNormal"/>
    <w:uiPriority w:val="52"/>
    <w:locked/>
    <w:rsid w:val="000B3F28"/>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insideV w:val="single" w:sz="4" w:space="0" w:color="2BA484"/>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2BA484"/>
        </w:tcBorders>
      </w:tcPr>
    </w:tblStylePr>
    <w:tblStylePr w:type="nwCell">
      <w:tblPr/>
      <w:tcPr>
        <w:tcBorders>
          <w:bottom w:val="single" w:sz="4" w:space="0" w:color="2BA484"/>
        </w:tcBorders>
      </w:tcPr>
    </w:tblStylePr>
    <w:tblStylePr w:type="seCell">
      <w:tblPr/>
      <w:tcPr>
        <w:tcBorders>
          <w:top w:val="single" w:sz="4" w:space="0" w:color="2BA484"/>
        </w:tcBorders>
      </w:tcPr>
    </w:tblStylePr>
    <w:tblStylePr w:type="swCell">
      <w:tblPr/>
      <w:tcPr>
        <w:tcBorders>
          <w:top w:val="single" w:sz="4" w:space="0" w:color="2BA484"/>
        </w:tcBorders>
      </w:tcPr>
    </w:tblStylePr>
  </w:style>
  <w:style w:type="table" w:styleId="GridTable7ColourfulAccent6">
    <w:name w:val="Grid Table 7 Colorful Accent 6"/>
    <w:basedOn w:val="TableNormal"/>
    <w:uiPriority w:val="52"/>
    <w:locked/>
    <w:rsid w:val="000B3F28"/>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insideV w:val="single" w:sz="4" w:space="0" w:color="0B9DA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0B9DA2"/>
        </w:tcBorders>
      </w:tcPr>
    </w:tblStylePr>
    <w:tblStylePr w:type="nwCell">
      <w:tblPr/>
      <w:tcPr>
        <w:tcBorders>
          <w:bottom w:val="single" w:sz="4" w:space="0" w:color="0B9DA2"/>
        </w:tcBorders>
      </w:tcPr>
    </w:tblStylePr>
    <w:tblStylePr w:type="seCell">
      <w:tblPr/>
      <w:tcPr>
        <w:tcBorders>
          <w:top w:val="single" w:sz="4" w:space="0" w:color="0B9DA2"/>
        </w:tcBorders>
      </w:tcPr>
    </w:tblStylePr>
    <w:tblStylePr w:type="swCell">
      <w:tblPr/>
      <w:tcPr>
        <w:tcBorders>
          <w:top w:val="single" w:sz="4" w:space="0" w:color="0B9DA2"/>
        </w:tcBorders>
      </w:tcPr>
    </w:tblStylePr>
  </w:style>
  <w:style w:type="character" w:customStyle="1" w:styleId="Heading4Char">
    <w:name w:val="Heading 4 Char"/>
    <w:basedOn w:val="DefaultParagraphFont"/>
    <w:link w:val="Heading4"/>
    <w:uiPriority w:val="3"/>
    <w:rsid w:val="00683F4E"/>
    <w:rPr>
      <w:rFonts w:asciiTheme="majorHAnsi" w:eastAsiaTheme="majorEastAsia" w:hAnsiTheme="majorHAnsi" w:cstheme="majorBidi"/>
      <w:b/>
      <w:iCs/>
      <w:color w:val="auto"/>
    </w:rPr>
  </w:style>
  <w:style w:type="paragraph" w:styleId="DocumentMap">
    <w:name w:val="Document Map"/>
    <w:basedOn w:val="Normal"/>
    <w:link w:val="DocumentMapChar"/>
    <w:uiPriority w:val="99"/>
    <w:semiHidden/>
    <w:unhideWhenUsed/>
    <w:rsid w:val="000B3F28"/>
    <w:pPr>
      <w:spacing w:after="0" w:line="240" w:lineRule="auto"/>
    </w:pPr>
    <w:rPr>
      <w:rFonts w:cs="Segoe UI"/>
      <w:sz w:val="16"/>
      <w:szCs w:val="16"/>
    </w:rPr>
  </w:style>
  <w:style w:type="character" w:customStyle="1" w:styleId="DocumentMapChar">
    <w:name w:val="Document Map Char"/>
    <w:basedOn w:val="DefaultParagraphFont"/>
    <w:link w:val="DocumentMap"/>
    <w:uiPriority w:val="99"/>
    <w:semiHidden/>
    <w:rsid w:val="000B3F28"/>
    <w:rPr>
      <w:rFonts w:cs="Segoe UI"/>
      <w:sz w:val="16"/>
      <w:szCs w:val="16"/>
    </w:rPr>
  </w:style>
  <w:style w:type="character" w:customStyle="1" w:styleId="Heading5Char">
    <w:name w:val="Heading 5 Char"/>
    <w:basedOn w:val="DefaultParagraphFont"/>
    <w:link w:val="Heading5"/>
    <w:uiPriority w:val="99"/>
    <w:semiHidden/>
    <w:rsid w:val="000B3F28"/>
    <w:rPr>
      <w:rFonts w:asciiTheme="majorHAnsi" w:eastAsiaTheme="majorEastAsia" w:hAnsiTheme="majorHAnsi" w:cstheme="majorBidi"/>
    </w:rPr>
  </w:style>
  <w:style w:type="character" w:customStyle="1" w:styleId="Heading6Char">
    <w:name w:val="Heading 6 Char"/>
    <w:basedOn w:val="DefaultParagraphFont"/>
    <w:link w:val="Heading6"/>
    <w:uiPriority w:val="99"/>
    <w:semiHidden/>
    <w:rsid w:val="000B3F28"/>
    <w:rPr>
      <w:rFonts w:asciiTheme="majorHAnsi" w:eastAsiaTheme="majorEastAsia" w:hAnsiTheme="majorHAnsi" w:cstheme="majorBidi"/>
    </w:rPr>
  </w:style>
  <w:style w:type="character" w:customStyle="1" w:styleId="Heading7Char">
    <w:name w:val="Heading 7 Char"/>
    <w:basedOn w:val="DefaultParagraphFont"/>
    <w:link w:val="Heading7"/>
    <w:uiPriority w:val="99"/>
    <w:semiHidden/>
    <w:rsid w:val="000B3F28"/>
    <w:rPr>
      <w:rFonts w:asciiTheme="majorHAnsi" w:eastAsiaTheme="majorEastAsia" w:hAnsiTheme="majorHAnsi" w:cstheme="majorBidi"/>
      <w:i/>
      <w:iCs/>
    </w:rPr>
  </w:style>
  <w:style w:type="character" w:customStyle="1" w:styleId="Heading8Char">
    <w:name w:val="Heading 8 Char"/>
    <w:basedOn w:val="DefaultParagraphFont"/>
    <w:link w:val="Heading8"/>
    <w:uiPriority w:val="99"/>
    <w:semiHidden/>
    <w:rsid w:val="000B3F28"/>
    <w:rPr>
      <w:rFonts w:asciiTheme="majorHAnsi" w:eastAsiaTheme="majorEastAsia" w:hAnsiTheme="majorHAnsi" w:cstheme="majorBidi"/>
      <w:sz w:val="21"/>
      <w:szCs w:val="21"/>
    </w:rPr>
  </w:style>
  <w:style w:type="character" w:styleId="HTMLCode">
    <w:name w:val="HTML Code"/>
    <w:basedOn w:val="DefaultParagraphFont"/>
    <w:uiPriority w:val="99"/>
    <w:semiHidden/>
    <w:unhideWhenUsed/>
    <w:locked/>
    <w:rsid w:val="000B3F28"/>
    <w:rPr>
      <w:rFonts w:ascii="Montserrat Light" w:hAnsi="Montserrat Light"/>
      <w:sz w:val="20"/>
      <w:szCs w:val="20"/>
    </w:rPr>
  </w:style>
  <w:style w:type="character" w:styleId="HTMLKeyboard">
    <w:name w:val="HTML Keyboard"/>
    <w:basedOn w:val="DefaultParagraphFont"/>
    <w:uiPriority w:val="99"/>
    <w:semiHidden/>
    <w:unhideWhenUsed/>
    <w:locked/>
    <w:rsid w:val="000B3F28"/>
    <w:rPr>
      <w:rFonts w:ascii="Montserrat Light" w:hAnsi="Montserrat Light"/>
      <w:sz w:val="20"/>
      <w:szCs w:val="20"/>
    </w:rPr>
  </w:style>
  <w:style w:type="paragraph" w:styleId="HTMLPreformatted">
    <w:name w:val="HTML Preformatted"/>
    <w:basedOn w:val="Normal"/>
    <w:link w:val="HTMLPreformattedChar"/>
    <w:uiPriority w:val="99"/>
    <w:semiHidden/>
    <w:unhideWhenUsed/>
    <w:locked/>
    <w:rsid w:val="000B3F28"/>
    <w:pPr>
      <w:spacing w:after="0" w:line="240" w:lineRule="auto"/>
    </w:pPr>
    <w:rPr>
      <w:sz w:val="20"/>
      <w:szCs w:val="20"/>
    </w:rPr>
  </w:style>
  <w:style w:type="character" w:customStyle="1" w:styleId="HTMLPreformattedChar">
    <w:name w:val="HTML Preformatted Char"/>
    <w:basedOn w:val="DefaultParagraphFont"/>
    <w:link w:val="HTMLPreformatted"/>
    <w:uiPriority w:val="99"/>
    <w:semiHidden/>
    <w:rsid w:val="000B3F28"/>
    <w:rPr>
      <w:sz w:val="20"/>
      <w:szCs w:val="20"/>
    </w:rPr>
  </w:style>
  <w:style w:type="character" w:styleId="HTMLSample">
    <w:name w:val="HTML Sample"/>
    <w:basedOn w:val="DefaultParagraphFont"/>
    <w:uiPriority w:val="99"/>
    <w:semiHidden/>
    <w:unhideWhenUsed/>
    <w:locked/>
    <w:rsid w:val="000B3F28"/>
    <w:rPr>
      <w:rFonts w:ascii="Montserrat Light" w:hAnsi="Montserrat Light"/>
      <w:sz w:val="24"/>
      <w:szCs w:val="24"/>
    </w:rPr>
  </w:style>
  <w:style w:type="character" w:styleId="HTMLTypewriter">
    <w:name w:val="HTML Typewriter"/>
    <w:basedOn w:val="DefaultParagraphFont"/>
    <w:uiPriority w:val="99"/>
    <w:semiHidden/>
    <w:unhideWhenUsed/>
    <w:locked/>
    <w:rsid w:val="000B3F28"/>
    <w:rPr>
      <w:rFonts w:ascii="Montserrat Light" w:hAnsi="Montserrat Light"/>
      <w:sz w:val="20"/>
      <w:szCs w:val="20"/>
    </w:rPr>
  </w:style>
  <w:style w:type="character" w:styleId="IntenseEmphasis">
    <w:name w:val="Intense Emphasis"/>
    <w:basedOn w:val="DefaultParagraphFont"/>
    <w:uiPriority w:val="99"/>
    <w:semiHidden/>
    <w:locked/>
    <w:rsid w:val="000B3F28"/>
    <w:rPr>
      <w:i/>
      <w:iCs/>
      <w:color w:val="005128"/>
    </w:rPr>
  </w:style>
  <w:style w:type="paragraph" w:styleId="IntenseQuote">
    <w:name w:val="Intense Quote"/>
    <w:basedOn w:val="Normal"/>
    <w:next w:val="Normal"/>
    <w:link w:val="IntenseQuoteChar"/>
    <w:uiPriority w:val="99"/>
    <w:semiHidden/>
    <w:locked/>
    <w:rsid w:val="000B3F28"/>
    <w:pPr>
      <w:pBdr>
        <w:top w:val="single" w:sz="4" w:space="10" w:color="005128"/>
        <w:bottom w:val="single" w:sz="4" w:space="10" w:color="005128"/>
      </w:pBdr>
      <w:spacing w:before="360" w:after="360"/>
      <w:ind w:left="864" w:right="864"/>
      <w:jc w:val="center"/>
    </w:pPr>
    <w:rPr>
      <w:i/>
      <w:iCs/>
      <w:color w:val="005128"/>
    </w:rPr>
  </w:style>
  <w:style w:type="character" w:customStyle="1" w:styleId="IntenseQuoteChar">
    <w:name w:val="Intense Quote Char"/>
    <w:basedOn w:val="DefaultParagraphFont"/>
    <w:link w:val="IntenseQuote"/>
    <w:uiPriority w:val="99"/>
    <w:semiHidden/>
    <w:rsid w:val="000B3F28"/>
    <w:rPr>
      <w:i/>
      <w:iCs/>
      <w:color w:val="005128"/>
    </w:rPr>
  </w:style>
  <w:style w:type="character" w:styleId="IntenseReference">
    <w:name w:val="Intense Reference"/>
    <w:basedOn w:val="DefaultParagraphFont"/>
    <w:uiPriority w:val="99"/>
    <w:semiHidden/>
    <w:locked/>
    <w:rsid w:val="000B3F28"/>
    <w:rPr>
      <w:b/>
      <w:bCs/>
      <w:smallCaps/>
      <w:color w:val="005128"/>
      <w:spacing w:val="5"/>
    </w:rPr>
  </w:style>
  <w:style w:type="paragraph" w:styleId="MacroText">
    <w:name w:val="macro"/>
    <w:link w:val="MacroTextChar"/>
    <w:uiPriority w:val="99"/>
    <w:semiHidden/>
    <w:unhideWhenUsed/>
    <w:rsid w:val="000B3F28"/>
    <w:pPr>
      <w:tabs>
        <w:tab w:val="left" w:pos="480"/>
        <w:tab w:val="left" w:pos="960"/>
        <w:tab w:val="left" w:pos="1440"/>
        <w:tab w:val="left" w:pos="1920"/>
        <w:tab w:val="left" w:pos="2400"/>
        <w:tab w:val="left" w:pos="2880"/>
        <w:tab w:val="left" w:pos="3360"/>
        <w:tab w:val="left" w:pos="3840"/>
        <w:tab w:val="left" w:pos="4320"/>
      </w:tabs>
      <w:spacing w:after="0"/>
    </w:pPr>
    <w:rPr>
      <w:sz w:val="20"/>
      <w:szCs w:val="20"/>
    </w:rPr>
  </w:style>
  <w:style w:type="character" w:customStyle="1" w:styleId="MacroTextChar">
    <w:name w:val="Macro Text Char"/>
    <w:basedOn w:val="DefaultParagraphFont"/>
    <w:link w:val="MacroText"/>
    <w:uiPriority w:val="99"/>
    <w:semiHidden/>
    <w:rsid w:val="000B3F28"/>
    <w:rPr>
      <w:sz w:val="20"/>
      <w:szCs w:val="20"/>
    </w:rPr>
  </w:style>
  <w:style w:type="paragraph" w:styleId="NormalWeb">
    <w:name w:val="Normal (Web)"/>
    <w:basedOn w:val="Normal"/>
    <w:uiPriority w:val="99"/>
    <w:semiHidden/>
    <w:unhideWhenUsed/>
    <w:rsid w:val="000B3F28"/>
    <w:rPr>
      <w:rFonts w:cs="Times New Roman"/>
    </w:rPr>
  </w:style>
  <w:style w:type="paragraph" w:styleId="PlainText">
    <w:name w:val="Plain Text"/>
    <w:basedOn w:val="Normal"/>
    <w:link w:val="PlainTextChar"/>
    <w:uiPriority w:val="99"/>
    <w:semiHidden/>
    <w:unhideWhenUsed/>
    <w:locked/>
    <w:rsid w:val="000B3F28"/>
    <w:pPr>
      <w:spacing w:after="0" w:line="240" w:lineRule="auto"/>
    </w:pPr>
    <w:rPr>
      <w:sz w:val="21"/>
      <w:szCs w:val="21"/>
    </w:rPr>
  </w:style>
  <w:style w:type="character" w:customStyle="1" w:styleId="PlainTextChar">
    <w:name w:val="Plain Text Char"/>
    <w:basedOn w:val="DefaultParagraphFont"/>
    <w:link w:val="PlainText"/>
    <w:uiPriority w:val="99"/>
    <w:semiHidden/>
    <w:rsid w:val="000B3F28"/>
    <w:rPr>
      <w:sz w:val="21"/>
      <w:szCs w:val="21"/>
    </w:rPr>
  </w:style>
  <w:style w:type="paragraph" w:styleId="TOC3">
    <w:name w:val="toc 3"/>
    <w:next w:val="Normal"/>
    <w:autoRedefine/>
    <w:uiPriority w:val="39"/>
    <w:unhideWhenUsed/>
    <w:rsid w:val="000B3F28"/>
    <w:pPr>
      <w:tabs>
        <w:tab w:val="right" w:leader="dot" w:pos="9639"/>
      </w:tabs>
      <w:spacing w:before="120" w:after="120"/>
      <w:ind w:left="1134"/>
    </w:pPr>
    <w:rPr>
      <w:color w:val="6E6E70"/>
    </w:rPr>
  </w:style>
  <w:style w:type="character" w:customStyle="1" w:styleId="TOC2Char">
    <w:name w:val="TOC 2 Char"/>
    <w:basedOn w:val="DefaultParagraphFont"/>
    <w:link w:val="TOC2"/>
    <w:uiPriority w:val="39"/>
    <w:rsid w:val="000B3F28"/>
    <w:rPr>
      <w:noProof/>
      <w:color w:val="3C3C3E"/>
      <w:lang w:eastAsia="en-GB"/>
    </w:rPr>
  </w:style>
  <w:style w:type="paragraph" w:customStyle="1" w:styleId="Highlight-box">
    <w:name w:val="Highlight-box"/>
    <w:autoRedefine/>
    <w:uiPriority w:val="8"/>
    <w:qFormat/>
    <w:rsid w:val="000B3F28"/>
    <w:pPr>
      <w:numPr>
        <w:numId w:val="10"/>
      </w:numPr>
      <w:pBdr>
        <w:top w:val="single" w:sz="4" w:space="5" w:color="E6E7E8"/>
        <w:left w:val="single" w:sz="4" w:space="5" w:color="E6E7E8"/>
        <w:bottom w:val="single" w:sz="4" w:space="5" w:color="E6E7E8"/>
        <w:right w:val="single" w:sz="4" w:space="5" w:color="E6E7E8"/>
      </w:pBdr>
      <w:shd w:val="clear" w:color="auto" w:fill="F2F2F2"/>
    </w:pPr>
  </w:style>
  <w:style w:type="paragraph" w:styleId="ListNumber2">
    <w:name w:val="List Number 2"/>
    <w:basedOn w:val="ListNumber"/>
    <w:uiPriority w:val="99"/>
    <w:semiHidden/>
    <w:locked/>
    <w:rsid w:val="000B3F28"/>
  </w:style>
  <w:style w:type="paragraph" w:styleId="ListNumber3">
    <w:name w:val="List Number 3"/>
    <w:basedOn w:val="Normal"/>
    <w:uiPriority w:val="99"/>
    <w:semiHidden/>
    <w:locked/>
    <w:rsid w:val="000B3F28"/>
    <w:pPr>
      <w:ind w:left="1134" w:hanging="567"/>
    </w:pPr>
  </w:style>
  <w:style w:type="paragraph" w:styleId="ListNumber4">
    <w:name w:val="List Number 4"/>
    <w:basedOn w:val="Normal"/>
    <w:uiPriority w:val="99"/>
    <w:semiHidden/>
    <w:locked/>
    <w:rsid w:val="000B3F28"/>
    <w:pPr>
      <w:ind w:left="1134" w:hanging="567"/>
    </w:pPr>
  </w:style>
  <w:style w:type="paragraph" w:styleId="ListNumber5">
    <w:name w:val="List Number 5"/>
    <w:basedOn w:val="Normal"/>
    <w:uiPriority w:val="99"/>
    <w:semiHidden/>
    <w:locked/>
    <w:rsid w:val="000B3F28"/>
    <w:pPr>
      <w:ind w:left="1134" w:hanging="567"/>
    </w:pPr>
  </w:style>
  <w:style w:type="paragraph" w:customStyle="1" w:styleId="ListAlphabetical">
    <w:name w:val="List Alphabetical"/>
    <w:link w:val="ListAlphabeticalChar"/>
    <w:autoRedefine/>
    <w:uiPriority w:val="6"/>
    <w:qFormat/>
    <w:rsid w:val="00683F4E"/>
    <w:pPr>
      <w:numPr>
        <w:numId w:val="13"/>
      </w:numPr>
    </w:pPr>
    <w:rPr>
      <w:color w:val="auto"/>
      <w:lang w:eastAsia="en-GB"/>
    </w:rPr>
  </w:style>
  <w:style w:type="character" w:customStyle="1" w:styleId="ListAlphabeticalChar">
    <w:name w:val="List Alphabetical Char"/>
    <w:basedOn w:val="DefaultParagraphFont"/>
    <w:link w:val="ListAlphabetical"/>
    <w:uiPriority w:val="6"/>
    <w:rsid w:val="00683F4E"/>
    <w:rPr>
      <w:color w:val="auto"/>
      <w:lang w:eastAsia="en-GB"/>
    </w:rPr>
  </w:style>
  <w:style w:type="character" w:customStyle="1" w:styleId="ListBulletChar">
    <w:name w:val="List Bullet Char"/>
    <w:basedOn w:val="DefaultParagraphFont"/>
    <w:link w:val="ListBullet"/>
    <w:uiPriority w:val="6"/>
    <w:rsid w:val="00683F4E"/>
    <w:rPr>
      <w:rFonts w:eastAsia="Lucida Sans" w:cs="Times New Roman"/>
      <w:color w:val="auto"/>
      <w:lang w:eastAsia="en-GB"/>
    </w:rPr>
  </w:style>
  <w:style w:type="paragraph" w:customStyle="1" w:styleId="ListRoman">
    <w:name w:val="List Roman"/>
    <w:link w:val="ListRomanChar"/>
    <w:autoRedefine/>
    <w:uiPriority w:val="6"/>
    <w:qFormat/>
    <w:rsid w:val="00683F4E"/>
    <w:pPr>
      <w:numPr>
        <w:numId w:val="14"/>
      </w:numPr>
    </w:pPr>
    <w:rPr>
      <w:color w:val="auto"/>
      <w:lang w:eastAsia="en-GB"/>
    </w:rPr>
  </w:style>
  <w:style w:type="character" w:customStyle="1" w:styleId="ListRomanChar">
    <w:name w:val="List Roman Char"/>
    <w:basedOn w:val="ListAlphabeticalChar"/>
    <w:link w:val="ListRoman"/>
    <w:uiPriority w:val="6"/>
    <w:rsid w:val="00683F4E"/>
    <w:rPr>
      <w:color w:val="auto"/>
      <w:lang w:eastAsia="en-GB"/>
    </w:rPr>
  </w:style>
  <w:style w:type="paragraph" w:customStyle="1" w:styleId="Joint-list">
    <w:name w:val="Joint-list"/>
    <w:autoRedefine/>
    <w:uiPriority w:val="7"/>
    <w:rsid w:val="000B3F28"/>
    <w:pPr>
      <w:numPr>
        <w:numId w:val="11"/>
      </w:numPr>
      <w:spacing w:before="0"/>
    </w:pPr>
    <w:rPr>
      <w:rFonts w:cs="Segoe UI"/>
    </w:rPr>
  </w:style>
  <w:style w:type="paragraph" w:styleId="NoSpacing">
    <w:name w:val="No Spacing"/>
    <w:autoRedefine/>
    <w:uiPriority w:val="5"/>
    <w:locked/>
    <w:rsid w:val="000B3F28"/>
    <w:pPr>
      <w:spacing w:before="0" w:after="0" w:line="240" w:lineRule="auto"/>
    </w:pPr>
  </w:style>
  <w:style w:type="paragraph" w:customStyle="1" w:styleId="Quote-highlight">
    <w:name w:val="Quote-highlight"/>
    <w:autoRedefine/>
    <w:uiPriority w:val="8"/>
    <w:qFormat/>
    <w:rsid w:val="000B3F28"/>
    <w:pPr>
      <w:numPr>
        <w:numId w:val="38"/>
      </w:numPr>
      <w:pBdr>
        <w:top w:val="single" w:sz="4" w:space="8" w:color="E7333F"/>
        <w:left w:val="single" w:sz="4" w:space="8" w:color="E7333F"/>
        <w:bottom w:val="single" w:sz="4" w:space="8" w:color="E7333F"/>
        <w:right w:val="single" w:sz="4" w:space="8" w:color="E7333F"/>
      </w:pBdr>
      <w:shd w:val="clear" w:color="auto" w:fill="FCDED6"/>
    </w:pPr>
    <w:rPr>
      <w:i/>
    </w:rPr>
  </w:style>
  <w:style w:type="numbering" w:customStyle="1" w:styleId="Recommendation-list">
    <w:name w:val="Recommendation-list"/>
    <w:uiPriority w:val="99"/>
    <w:rsid w:val="000B3F28"/>
    <w:pPr>
      <w:numPr>
        <w:numId w:val="20"/>
      </w:numPr>
    </w:pPr>
  </w:style>
  <w:style w:type="numbering" w:customStyle="1" w:styleId="Conclusion-style">
    <w:name w:val="Conclusion-style"/>
    <w:uiPriority w:val="99"/>
    <w:rsid w:val="000B3F28"/>
    <w:pPr>
      <w:numPr>
        <w:numId w:val="25"/>
      </w:numPr>
    </w:pPr>
  </w:style>
  <w:style w:type="numbering" w:customStyle="1" w:styleId="Joint-list-style">
    <w:name w:val="Joint-list-style"/>
    <w:uiPriority w:val="99"/>
    <w:rsid w:val="000B3F28"/>
    <w:pPr>
      <w:numPr>
        <w:numId w:val="27"/>
      </w:numPr>
    </w:pPr>
  </w:style>
  <w:style w:type="character" w:customStyle="1" w:styleId="Bold">
    <w:name w:val="Bold"/>
    <w:uiPriority w:val="99"/>
    <w:rsid w:val="000B3F28"/>
    <w:rPr>
      <w:rFonts w:asciiTheme="majorHAnsi" w:hAnsiTheme="majorHAnsi"/>
      <w:b/>
      <w:lang w:eastAsia="en-GB"/>
    </w:rPr>
  </w:style>
  <w:style w:type="paragraph" w:customStyle="1" w:styleId="HeaderTable">
    <w:name w:val="Header Table"/>
    <w:basedOn w:val="Normal"/>
    <w:rsid w:val="000E6E96"/>
    <w:pPr>
      <w:tabs>
        <w:tab w:val="center" w:pos="4513"/>
        <w:tab w:val="right" w:pos="9026"/>
      </w:tabs>
      <w:spacing w:before="0" w:after="0" w:line="240" w:lineRule="auto"/>
    </w:pPr>
    <w:rPr>
      <w:rFonts w:ascii="Montserrat" w:eastAsia="Calibri" w:hAnsi="Montserrat" w:cs="Times New Roman"/>
      <w:color w:val="4EA947"/>
      <w:szCs w:val="20"/>
    </w:rPr>
  </w:style>
  <w:style w:type="character" w:styleId="UnresolvedMention">
    <w:name w:val="Unresolved Mention"/>
    <w:basedOn w:val="DefaultParagraphFont"/>
    <w:uiPriority w:val="99"/>
    <w:semiHidden/>
    <w:unhideWhenUsed/>
    <w:rsid w:val="003F6DC0"/>
    <w:rPr>
      <w:color w:val="605E5C"/>
      <w:shd w:val="clear" w:color="auto" w:fill="E1DFDD"/>
    </w:rPr>
  </w:style>
  <w:style w:type="character" w:styleId="PlaceholderText">
    <w:name w:val="Placeholder Text"/>
    <w:basedOn w:val="DefaultParagraphFont"/>
    <w:uiPriority w:val="99"/>
    <w:semiHidden/>
    <w:rsid w:val="0062385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3676706">
      <w:bodyDiv w:val="1"/>
      <w:marLeft w:val="0"/>
      <w:marRight w:val="0"/>
      <w:marTop w:val="0"/>
      <w:marBottom w:val="0"/>
      <w:divBdr>
        <w:top w:val="none" w:sz="0" w:space="0" w:color="auto"/>
        <w:left w:val="none" w:sz="0" w:space="0" w:color="auto"/>
        <w:bottom w:val="none" w:sz="0" w:space="0" w:color="auto"/>
        <w:right w:val="none" w:sz="0" w:space="0" w:color="auto"/>
      </w:divBdr>
    </w:div>
    <w:div w:id="1064836155">
      <w:bodyDiv w:val="1"/>
      <w:marLeft w:val="0"/>
      <w:marRight w:val="0"/>
      <w:marTop w:val="0"/>
      <w:marBottom w:val="0"/>
      <w:divBdr>
        <w:top w:val="none" w:sz="0" w:space="0" w:color="auto"/>
        <w:left w:val="none" w:sz="0" w:space="0" w:color="auto"/>
        <w:bottom w:val="none" w:sz="0" w:space="0" w:color="auto"/>
        <w:right w:val="none" w:sz="0" w:space="0" w:color="auto"/>
      </w:divBdr>
    </w:div>
    <w:div w:id="157620887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usnes.senedd.cymru/mgConsultationDisplay.aspx?id=625" TargetMode="External"/><Relationship Id="rId18" Type="http://schemas.openxmlformats.org/officeDocument/2006/relationships/hyperlink" Target="https://www.gov.wales/evaluating-foundation-phase" TargetMode="External"/><Relationship Id="rId26" Type="http://schemas.openxmlformats.org/officeDocument/2006/relationships/hyperlink" Target="https://senedd.wales/senedd-now/news/lack-of-resources-could-have-real-impact-on-pupils-education-in-wales-says-national-assembly-committee/" TargetMode="External"/><Relationship Id="rId3" Type="http://schemas.openxmlformats.org/officeDocument/2006/relationships/customXml" Target="../customXml/item3.xml"/><Relationship Id="rId21" Type="http://schemas.openxmlformats.org/officeDocument/2006/relationships/hyperlink" Target="https://record.senedd.wales/Plenary/16074"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business.senedd.wales/mgCommitteeDetails.aspx?ID=981" TargetMode="External"/><Relationship Id="rId17" Type="http://schemas.openxmlformats.org/officeDocument/2006/relationships/hyperlink" Target="http://www.cardiff.ac.uk/" TargetMode="External"/><Relationship Id="rId25" Type="http://schemas.openxmlformats.org/officeDocument/2006/relationships/hyperlink" Target="http://adrwales.org/wp-content/uploads/2026/07/Data-Insight-Degree-subjects-of-science-teachers-in-Wales.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wiserd.ac.uk/" TargetMode="External"/><Relationship Id="rId20" Type="http://schemas.openxmlformats.org/officeDocument/2006/relationships/hyperlink" Target="https://onlinelibrary.wiley.com/doi/10.1111/j.1467-971X.2010.01656.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snes.senedd.cymru/mgCommitteeDetails.aspx?ID=981" TargetMode="External"/><Relationship Id="rId24" Type="http://schemas.openxmlformats.org/officeDocument/2006/relationships/hyperlink" Target="https://www.nfer.ac.uk/publications/teacher-labour-market-in-wales-annual-report-2022/"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adrwales.org/our-focus/education/" TargetMode="External"/><Relationship Id="rId23" Type="http://schemas.openxmlformats.org/officeDocument/2006/relationships/hyperlink" Target="https://cf.sharepoint.com/teams/WISERDEducationDataLab781/Shared%20Documents/Education/Senedd%20Consultations/tandfonline.com/doi/full/10.1080/00071005.2026.2631424" TargetMode="External"/><Relationship Id="rId28" Type="http://schemas.openxmlformats.org/officeDocument/2006/relationships/hyperlink" Target="https://adrwales.org/about-us/aims-mission-history/" TargetMode="External"/><Relationship Id="rId10" Type="http://schemas.openxmlformats.org/officeDocument/2006/relationships/endnotes" Target="endnotes.xml"/><Relationship Id="rId19" Type="http://schemas.openxmlformats.org/officeDocument/2006/relationships/hyperlink" Target="https://www.tandfonline.com/doi/full/10.1080/03054985.2016.1184872"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usiness.senedd.wales/mgConsultationDisplay.aspx?id=625" TargetMode="External"/><Relationship Id="rId22" Type="http://schemas.openxmlformats.org/officeDocument/2006/relationships/hyperlink" Target="https://www.jbe-platform.com/content/journals/10.1075/jicb.22015.tho" TargetMode="External"/><Relationship Id="rId27" Type="http://schemas.openxmlformats.org/officeDocument/2006/relationships/hyperlink" Target="https://saildatabank.com/"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4BDEE153FE584A1C8915F616566A5433"/>
        <w:category>
          <w:name w:val="General"/>
          <w:gallery w:val="placeholder"/>
        </w:category>
        <w:types>
          <w:type w:val="bbPlcHdr"/>
        </w:types>
        <w:behaviors>
          <w:behavior w:val="content"/>
        </w:behaviors>
        <w:guid w:val="{8E79471D-A709-47E7-9D26-254A2FE2666E}"/>
      </w:docPartPr>
      <w:docPartBody>
        <w:p w:rsidR="002E520A" w:rsidRDefault="00971BB6" w:rsidP="00971BB6">
          <w:pPr>
            <w:pStyle w:val="4BDEE153FE584A1C8915F616566A54331"/>
          </w:pPr>
          <w:r w:rsidRPr="00882789">
            <w:rPr>
              <w:rStyle w:val="PlaceholderText"/>
            </w:rPr>
            <w:t>Click or tap here to enter your name and/or organisation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ynulliad Sans">
    <w:altName w:val="Calibri"/>
    <w:panose1 w:val="020B0604020202020204"/>
    <w:charset w:val="00"/>
    <w:family w:val="swiss"/>
    <w:pitch w:val="variable"/>
    <w:sig w:usb0="A00000AF" w:usb1="4000205B" w:usb2="00000000" w:usb3="00000000" w:csb0="0000009B" w:csb1="00000000"/>
  </w:font>
  <w:font w:name="Segoe UI Light">
    <w:panose1 w:val="020B0502040204020203"/>
    <w:charset w:val="00"/>
    <w:family w:val="swiss"/>
    <w:pitch w:val="variable"/>
    <w:sig w:usb0="E4002EFF" w:usb1="C000E47F"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ynulliad Serif">
    <w:panose1 w:val="020B0604020202020204"/>
    <w:charset w:val="00"/>
    <w:family w:val="auto"/>
    <w:pitch w:val="variable"/>
    <w:sig w:usb0="A00000AF" w:usb1="5000205B" w:usb2="00000000" w:usb3="00000000" w:csb0="0000009B"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ontserrat Light">
    <w:panose1 w:val="00000400000000000000"/>
    <w:charset w:val="00"/>
    <w:family w:val="auto"/>
    <w:pitch w:val="variable"/>
    <w:sig w:usb0="2000020F" w:usb1="00000003" w:usb2="00000000" w:usb3="00000000" w:csb0="00000197"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BB6"/>
    <w:rsid w:val="00025A88"/>
    <w:rsid w:val="00100947"/>
    <w:rsid w:val="0010578F"/>
    <w:rsid w:val="001249BF"/>
    <w:rsid w:val="001F3217"/>
    <w:rsid w:val="002179B4"/>
    <w:rsid w:val="002E520A"/>
    <w:rsid w:val="002F3063"/>
    <w:rsid w:val="003B4657"/>
    <w:rsid w:val="003E7F6E"/>
    <w:rsid w:val="00425462"/>
    <w:rsid w:val="004E44CC"/>
    <w:rsid w:val="005103BB"/>
    <w:rsid w:val="00590337"/>
    <w:rsid w:val="006162A6"/>
    <w:rsid w:val="0066500E"/>
    <w:rsid w:val="00712150"/>
    <w:rsid w:val="00895291"/>
    <w:rsid w:val="008B2385"/>
    <w:rsid w:val="00940750"/>
    <w:rsid w:val="00957C07"/>
    <w:rsid w:val="00971BB6"/>
    <w:rsid w:val="00A02455"/>
    <w:rsid w:val="00A2213C"/>
    <w:rsid w:val="00A42A70"/>
    <w:rsid w:val="00A747A6"/>
    <w:rsid w:val="00AC5423"/>
    <w:rsid w:val="00AE5B03"/>
    <w:rsid w:val="00B2033D"/>
    <w:rsid w:val="00B43243"/>
    <w:rsid w:val="00BB0DC7"/>
    <w:rsid w:val="00C9551C"/>
    <w:rsid w:val="00D30063"/>
    <w:rsid w:val="00E04279"/>
    <w:rsid w:val="00E6389E"/>
    <w:rsid w:val="00E7609B"/>
    <w:rsid w:val="00F15B52"/>
    <w:rsid w:val="00F677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1BB6"/>
    <w:rPr>
      <w:color w:val="666666"/>
    </w:rPr>
  </w:style>
  <w:style w:type="paragraph" w:customStyle="1" w:styleId="4BDEE153FE584A1C8915F616566A54331">
    <w:name w:val="4BDEE153FE584A1C8915F616566A54331"/>
    <w:rsid w:val="00971BB6"/>
    <w:pPr>
      <w:keepNext/>
      <w:spacing w:after="240" w:line="288" w:lineRule="auto"/>
      <w:outlineLvl w:val="0"/>
    </w:pPr>
    <w:rPr>
      <w:rFonts w:asciiTheme="majorHAnsi" w:eastAsia="Times New Roman" w:hAnsiTheme="majorHAnsi" w:cs="Times New Roman"/>
      <w:b/>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Forest">
  <a:themeElements>
    <a:clrScheme name="Anthracite">
      <a:dk1>
        <a:srgbClr val="2D2D2C"/>
      </a:dk1>
      <a:lt1>
        <a:srgbClr val="FFFFFF"/>
      </a:lt1>
      <a:dk2>
        <a:srgbClr val="2D2D2C"/>
      </a:dk2>
      <a:lt2>
        <a:srgbClr val="FFFFFF"/>
      </a:lt2>
      <a:accent1>
        <a:srgbClr val="C90774"/>
      </a:accent1>
      <a:accent2>
        <a:srgbClr val="E7333F"/>
      </a:accent2>
      <a:accent3>
        <a:srgbClr val="E37608"/>
      </a:accent3>
      <a:accent4>
        <a:srgbClr val="B88D2D"/>
      </a:accent4>
      <a:accent5>
        <a:srgbClr val="2BA484"/>
      </a:accent5>
      <a:accent6>
        <a:srgbClr val="0B9DA2"/>
      </a:accent6>
      <a:hlink>
        <a:srgbClr val="757578"/>
      </a:hlink>
      <a:folHlink>
        <a:srgbClr val="757578"/>
      </a:folHlink>
    </a:clrScheme>
    <a:fontScheme name="Segoe UI">
      <a:majorFont>
        <a:latin typeface="Segoe UI"/>
        <a:ea typeface=""/>
        <a:cs typeface=""/>
      </a:majorFont>
      <a:minorFont>
        <a:latin typeface="Segoe UI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blipFill>
          <a:blip xmlns:r="http://schemas.openxmlformats.org/officeDocument/2006/relationships" r:embed="rId1">
            <a:alphaModFix amt="95000"/>
          </a:blip>
          <a:tile tx="0" ty="0" sx="100000" sy="100000" flip="none" algn="tl"/>
        </a:blipFill>
        <a:ln w="9525" cap="rnd">
          <a:solidFill>
            <a:srgbClr val="42A328"/>
          </a:solidFill>
          <a:prstDash val="solid"/>
          <a:round/>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B50A61B5CCA61419028397CC21EC9E0" ma:contentTypeVersion="19" ma:contentTypeDescription="Create a new document." ma:contentTypeScope="" ma:versionID="e4d13e9d56e1cd708fe3ffb45a04a4ca">
  <xsd:schema xmlns:xsd="http://www.w3.org/2001/XMLSchema" xmlns:xs="http://www.w3.org/2001/XMLSchema" xmlns:p="http://schemas.microsoft.com/office/2006/metadata/properties" xmlns:ns2="99b3ff02-669c-4965-b69d-d9839ee31d07" xmlns:ns3="1d7bbf94-d5d7-4418-84b6-bd89ca91d27a" targetNamespace="http://schemas.microsoft.com/office/2006/metadata/properties" ma:root="true" ma:fieldsID="ddecb337c4b79f4dd93ca0865a9c1b05" ns2:_="" ns3:_="">
    <xsd:import namespace="99b3ff02-669c-4965-b69d-d9839ee31d07"/>
    <xsd:import namespace="1d7bbf94-d5d7-4418-84b6-bd89ca91d2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b3ff02-669c-4965-b69d-d9839ee31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7bbf94-d5d7-4418-84b6-bd89ca91d2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5b34ed9-7603-4d37-a623-a27c21609171}" ma:internalName="TaxCatchAll" ma:showField="CatchAllData" ma:web="1d7bbf94-d5d7-4418-84b6-bd89ca91d2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d7bbf94-d5d7-4418-84b6-bd89ca91d27a" xsi:nil="true"/>
    <lcf76f155ced4ddcb4097134ff3c332f xmlns="99b3ff02-669c-4965-b69d-d9839ee31d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8F0B24-FB84-4E32-AE43-972AE5D76896}">
  <ds:schemaRefs>
    <ds:schemaRef ds:uri="http://schemas.microsoft.com/sharepoint/v3/contenttype/forms"/>
  </ds:schemaRefs>
</ds:datastoreItem>
</file>

<file path=customXml/itemProps2.xml><?xml version="1.0" encoding="utf-8"?>
<ds:datastoreItem xmlns:ds="http://schemas.openxmlformats.org/officeDocument/2006/customXml" ds:itemID="{1305359C-E525-481C-A025-AAB703FE7B02}">
  <ds:schemaRefs>
    <ds:schemaRef ds:uri="http://schemas.openxmlformats.org/officeDocument/2006/bibliography"/>
  </ds:schemaRefs>
</ds:datastoreItem>
</file>

<file path=customXml/itemProps3.xml><?xml version="1.0" encoding="utf-8"?>
<ds:datastoreItem xmlns:ds="http://schemas.openxmlformats.org/officeDocument/2006/customXml" ds:itemID="{3A1730BD-94C0-42F1-B0E9-9B2C12A66E3E}"/>
</file>

<file path=customXml/itemProps4.xml><?xml version="1.0" encoding="utf-8"?>
<ds:datastoreItem xmlns:ds="http://schemas.openxmlformats.org/officeDocument/2006/customXml" ds:itemID="{08BF7A0A-393E-4D87-B994-9385DB995118}">
  <ds:schemaRefs>
    <ds:schemaRef ds:uri="http://schemas.microsoft.com/office/2006/metadata/properties"/>
    <ds:schemaRef ds:uri="http://schemas.microsoft.com/office/infopath/2007/PartnerControls"/>
    <ds:schemaRef ds:uri="85a63824-39b4-4112-9ee0-3216c33e98a8"/>
    <ds:schemaRef ds:uri="a8aac715-fb44-4a00-aba4-ade1f422b4c7"/>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2883</Words>
  <Characters>16437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19282</CharactersWithSpaces>
  <SharedDoc>false</SharedDoc>
  <HLinks>
    <vt:vector size="108" baseType="variant">
      <vt:variant>
        <vt:i4>3866747</vt:i4>
      </vt:variant>
      <vt:variant>
        <vt:i4>51</vt:i4>
      </vt:variant>
      <vt:variant>
        <vt:i4>0</vt:i4>
      </vt:variant>
      <vt:variant>
        <vt:i4>5</vt:i4>
      </vt:variant>
      <vt:variant>
        <vt:lpwstr>https://adrwales.org/about-us/aims-mission-history/</vt:lpwstr>
      </vt:variant>
      <vt:variant>
        <vt:lpwstr/>
      </vt:variant>
      <vt:variant>
        <vt:i4>1572871</vt:i4>
      </vt:variant>
      <vt:variant>
        <vt:i4>48</vt:i4>
      </vt:variant>
      <vt:variant>
        <vt:i4>0</vt:i4>
      </vt:variant>
      <vt:variant>
        <vt:i4>5</vt:i4>
      </vt:variant>
      <vt:variant>
        <vt:lpwstr>https://saildatabank.com/</vt:lpwstr>
      </vt:variant>
      <vt:variant>
        <vt:lpwstr/>
      </vt:variant>
      <vt:variant>
        <vt:i4>1507333</vt:i4>
      </vt:variant>
      <vt:variant>
        <vt:i4>45</vt:i4>
      </vt:variant>
      <vt:variant>
        <vt:i4>0</vt:i4>
      </vt:variant>
      <vt:variant>
        <vt:i4>5</vt:i4>
      </vt:variant>
      <vt:variant>
        <vt:lpwstr>https://senedd.wales/senedd-now/news/lack-of-resources-could-have-real-impact-on-pupils-education-in-wales-says-national-assembly-committee/</vt:lpwstr>
      </vt:variant>
      <vt:variant>
        <vt:lpwstr/>
      </vt:variant>
      <vt:variant>
        <vt:i4>5570589</vt:i4>
      </vt:variant>
      <vt:variant>
        <vt:i4>42</vt:i4>
      </vt:variant>
      <vt:variant>
        <vt:i4>0</vt:i4>
      </vt:variant>
      <vt:variant>
        <vt:i4>5</vt:i4>
      </vt:variant>
      <vt:variant>
        <vt:lpwstr>http://adrwales.org/wp-content/uploads/2026/07/Data-Insight-Degree-subjects-of-science-teachers-in-Wales.pdf</vt:lpwstr>
      </vt:variant>
      <vt:variant>
        <vt:lpwstr/>
      </vt:variant>
      <vt:variant>
        <vt:i4>3866668</vt:i4>
      </vt:variant>
      <vt:variant>
        <vt:i4>39</vt:i4>
      </vt:variant>
      <vt:variant>
        <vt:i4>0</vt:i4>
      </vt:variant>
      <vt:variant>
        <vt:i4>5</vt:i4>
      </vt:variant>
      <vt:variant>
        <vt:lpwstr>https://www.nfer.ac.uk/publications/teacher-labour-market-in-wales-annual-report-2022/</vt:lpwstr>
      </vt:variant>
      <vt:variant>
        <vt:lpwstr/>
      </vt:variant>
      <vt:variant>
        <vt:i4>6815799</vt:i4>
      </vt:variant>
      <vt:variant>
        <vt:i4>36</vt:i4>
      </vt:variant>
      <vt:variant>
        <vt:i4>0</vt:i4>
      </vt:variant>
      <vt:variant>
        <vt:i4>5</vt:i4>
      </vt:variant>
      <vt:variant>
        <vt:lpwstr>tandfonline.com/doi/full/10.1080/00071005.2026.2631424</vt:lpwstr>
      </vt:variant>
      <vt:variant>
        <vt:lpwstr/>
      </vt:variant>
      <vt:variant>
        <vt:i4>196617</vt:i4>
      </vt:variant>
      <vt:variant>
        <vt:i4>33</vt:i4>
      </vt:variant>
      <vt:variant>
        <vt:i4>0</vt:i4>
      </vt:variant>
      <vt:variant>
        <vt:i4>5</vt:i4>
      </vt:variant>
      <vt:variant>
        <vt:lpwstr>https://www.jbe-platform.com/content/journals/10.1075/jicb.22015.tho</vt:lpwstr>
      </vt:variant>
      <vt:variant>
        <vt:lpwstr/>
      </vt:variant>
      <vt:variant>
        <vt:i4>7143528</vt:i4>
      </vt:variant>
      <vt:variant>
        <vt:i4>30</vt:i4>
      </vt:variant>
      <vt:variant>
        <vt:i4>0</vt:i4>
      </vt:variant>
      <vt:variant>
        <vt:i4>5</vt:i4>
      </vt:variant>
      <vt:variant>
        <vt:lpwstr>https://record.senedd.wales/Plenary/16074</vt:lpwstr>
      </vt:variant>
      <vt:variant>
        <vt:lpwstr>A106479</vt:lpwstr>
      </vt:variant>
      <vt:variant>
        <vt:i4>4849741</vt:i4>
      </vt:variant>
      <vt:variant>
        <vt:i4>27</vt:i4>
      </vt:variant>
      <vt:variant>
        <vt:i4>0</vt:i4>
      </vt:variant>
      <vt:variant>
        <vt:i4>5</vt:i4>
      </vt:variant>
      <vt:variant>
        <vt:lpwstr>https://onlinelibrary.wiley.com/doi/10.1111/j.1467-971X.2010.01656.x</vt:lpwstr>
      </vt:variant>
      <vt:variant>
        <vt:lpwstr/>
      </vt:variant>
      <vt:variant>
        <vt:i4>3080315</vt:i4>
      </vt:variant>
      <vt:variant>
        <vt:i4>24</vt:i4>
      </vt:variant>
      <vt:variant>
        <vt:i4>0</vt:i4>
      </vt:variant>
      <vt:variant>
        <vt:i4>5</vt:i4>
      </vt:variant>
      <vt:variant>
        <vt:lpwstr>https://www.tandfonline.com/doi/full/10.1080/03054985.2016.1184872</vt:lpwstr>
      </vt:variant>
      <vt:variant>
        <vt:lpwstr/>
      </vt:variant>
      <vt:variant>
        <vt:i4>851977</vt:i4>
      </vt:variant>
      <vt:variant>
        <vt:i4>21</vt:i4>
      </vt:variant>
      <vt:variant>
        <vt:i4>0</vt:i4>
      </vt:variant>
      <vt:variant>
        <vt:i4>5</vt:i4>
      </vt:variant>
      <vt:variant>
        <vt:lpwstr>https://www.gov.wales/evaluating-foundation-phase</vt:lpwstr>
      </vt:variant>
      <vt:variant>
        <vt:lpwstr/>
      </vt:variant>
      <vt:variant>
        <vt:i4>1114123</vt:i4>
      </vt:variant>
      <vt:variant>
        <vt:i4>18</vt:i4>
      </vt:variant>
      <vt:variant>
        <vt:i4>0</vt:i4>
      </vt:variant>
      <vt:variant>
        <vt:i4>5</vt:i4>
      </vt:variant>
      <vt:variant>
        <vt:lpwstr>http://www.cardiff.ac.uk/</vt:lpwstr>
      </vt:variant>
      <vt:variant>
        <vt:lpwstr/>
      </vt:variant>
      <vt:variant>
        <vt:i4>4849692</vt:i4>
      </vt:variant>
      <vt:variant>
        <vt:i4>15</vt:i4>
      </vt:variant>
      <vt:variant>
        <vt:i4>0</vt:i4>
      </vt:variant>
      <vt:variant>
        <vt:i4>5</vt:i4>
      </vt:variant>
      <vt:variant>
        <vt:lpwstr>http://www.wiserd.ac.uk/</vt:lpwstr>
      </vt:variant>
      <vt:variant>
        <vt:lpwstr/>
      </vt:variant>
      <vt:variant>
        <vt:i4>524373</vt:i4>
      </vt:variant>
      <vt:variant>
        <vt:i4>12</vt:i4>
      </vt:variant>
      <vt:variant>
        <vt:i4>0</vt:i4>
      </vt:variant>
      <vt:variant>
        <vt:i4>5</vt:i4>
      </vt:variant>
      <vt:variant>
        <vt:lpwstr>https://adrwales.org/our-focus/education/</vt:lpwstr>
      </vt:variant>
      <vt:variant>
        <vt:lpwstr/>
      </vt:variant>
      <vt:variant>
        <vt:i4>2949226</vt:i4>
      </vt:variant>
      <vt:variant>
        <vt:i4>9</vt:i4>
      </vt:variant>
      <vt:variant>
        <vt:i4>0</vt:i4>
      </vt:variant>
      <vt:variant>
        <vt:i4>5</vt:i4>
      </vt:variant>
      <vt:variant>
        <vt:lpwstr>https://business.senedd.wales/mgConsultationDisplay.aspx?id=625</vt:lpwstr>
      </vt:variant>
      <vt:variant>
        <vt:lpwstr/>
      </vt:variant>
      <vt:variant>
        <vt:i4>4194305</vt:i4>
      </vt:variant>
      <vt:variant>
        <vt:i4>6</vt:i4>
      </vt:variant>
      <vt:variant>
        <vt:i4>0</vt:i4>
      </vt:variant>
      <vt:variant>
        <vt:i4>5</vt:i4>
      </vt:variant>
      <vt:variant>
        <vt:lpwstr>https://busnes.senedd.cymru/mgConsultationDisplay.aspx?id=625</vt:lpwstr>
      </vt:variant>
      <vt:variant>
        <vt:lpwstr/>
      </vt:variant>
      <vt:variant>
        <vt:i4>5963860</vt:i4>
      </vt:variant>
      <vt:variant>
        <vt:i4>3</vt:i4>
      </vt:variant>
      <vt:variant>
        <vt:i4>0</vt:i4>
      </vt:variant>
      <vt:variant>
        <vt:i4>5</vt:i4>
      </vt:variant>
      <vt:variant>
        <vt:lpwstr>https://business.senedd.wales/mgCommitteeDetails.aspx?ID=981</vt:lpwstr>
      </vt:variant>
      <vt:variant>
        <vt:lpwstr/>
      </vt:variant>
      <vt:variant>
        <vt:i4>3539007</vt:i4>
      </vt:variant>
      <vt:variant>
        <vt:i4>0</vt:i4>
      </vt:variant>
      <vt:variant>
        <vt:i4>0</vt:i4>
      </vt:variant>
      <vt:variant>
        <vt:i4>5</vt:i4>
      </vt:variant>
      <vt:variant>
        <vt:lpwstr>https://busnes.senedd.cymru/mgCommitteeDetails.aspx?ID=981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JamesR3</dc:creator>
  <cp:keywords/>
  <dc:description/>
  <cp:lastModifiedBy>Sophie Bartlett</cp:lastModifiedBy>
  <cp:revision>2</cp:revision>
  <cp:lastPrinted>2017-12-07T16:10:00Z</cp:lastPrinted>
  <dcterms:created xsi:type="dcterms:W3CDTF">2026-08-20T10:03:00Z</dcterms:created>
  <dcterms:modified xsi:type="dcterms:W3CDTF">2026-08-20T10:03:00Z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0x010100DB50A61B5CCA61419028397CC21EC9E0</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